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E8927" w14:textId="14D479C5" w:rsidR="00752750" w:rsidRDefault="00752750" w:rsidP="002B792B">
      <w:pPr>
        <w:pStyle w:val="Title"/>
        <w:jc w:val="center"/>
        <w:rPr>
          <w:rFonts w:ascii="Times New Roman" w:hAnsi="Times New Roman" w:cs="Times New Roman"/>
        </w:rPr>
      </w:pPr>
      <w:r w:rsidRPr="00752750">
        <w:rPr>
          <w:rFonts w:ascii="Times New Roman" w:hAnsi="Times New Roman" w:cs="Times New Roman"/>
        </w:rPr>
        <w:t>Community Resilience in Preventing Violent Extremism: A Case Study of District Karak, Pakistan</w:t>
      </w:r>
    </w:p>
    <w:p w14:paraId="491846D8" w14:textId="77777777" w:rsidR="00AC4660" w:rsidRDefault="00AC4660" w:rsidP="00523455">
      <w:pPr>
        <w:spacing w:line="360" w:lineRule="auto"/>
      </w:pPr>
    </w:p>
    <w:p w14:paraId="1658182B" w14:textId="2CD0F4A1" w:rsidR="002B792B" w:rsidRDefault="002B792B" w:rsidP="002B792B">
      <w:pPr>
        <w:spacing w:line="240" w:lineRule="auto"/>
      </w:pPr>
      <w:r>
        <w:t>Izaz Ullah</w:t>
      </w:r>
    </w:p>
    <w:p w14:paraId="7062A187" w14:textId="3E4FDD08" w:rsidR="002B792B" w:rsidRDefault="002B792B" w:rsidP="002B792B">
      <w:pPr>
        <w:spacing w:line="240" w:lineRule="auto"/>
      </w:pPr>
      <w:r>
        <w:t>MPhil IR Scholar, NDU, Islamabad</w:t>
      </w:r>
    </w:p>
    <w:p w14:paraId="4A879675" w14:textId="4163A3A5" w:rsidR="002B792B" w:rsidRDefault="002B792B" w:rsidP="002B792B">
      <w:pPr>
        <w:spacing w:line="240" w:lineRule="auto"/>
      </w:pPr>
      <w:hyperlink r:id="rId8" w:history="1">
        <w:r w:rsidRPr="00905FD3">
          <w:rPr>
            <w:rStyle w:val="Hyperlink"/>
          </w:rPr>
          <w:t>Izazkhattak321@gmail.com</w:t>
        </w:r>
      </w:hyperlink>
    </w:p>
    <w:p w14:paraId="7BB5DC49" w14:textId="77777777" w:rsidR="002B792B" w:rsidRDefault="002B792B" w:rsidP="00523455">
      <w:pPr>
        <w:spacing w:line="360" w:lineRule="auto"/>
      </w:pPr>
    </w:p>
    <w:p w14:paraId="0ACEC14D" w14:textId="77777777" w:rsidR="002B792B" w:rsidRPr="002B792B" w:rsidRDefault="002B792B" w:rsidP="002B792B">
      <w:pPr>
        <w:keepNext/>
        <w:keepLines/>
        <w:spacing w:before="240" w:after="0" w:line="360" w:lineRule="auto"/>
        <w:jc w:val="center"/>
        <w:outlineLvl w:val="0"/>
        <w:rPr>
          <w:rFonts w:eastAsiaTheme="majorEastAsia" w:cstheme="majorBidi"/>
          <w:b/>
          <w:color w:val="000000" w:themeColor="text1"/>
          <w:szCs w:val="32"/>
        </w:rPr>
      </w:pPr>
      <w:bookmarkStart w:id="0" w:name="_Toc193222674"/>
      <w:bookmarkStart w:id="1" w:name="_Toc194941128"/>
      <w:r w:rsidRPr="002B792B">
        <w:rPr>
          <w:rFonts w:eastAsiaTheme="majorEastAsia" w:cstheme="majorBidi"/>
          <w:b/>
          <w:color w:val="000000" w:themeColor="text1"/>
          <w:szCs w:val="32"/>
        </w:rPr>
        <w:t>Abstract</w:t>
      </w:r>
      <w:bookmarkEnd w:id="0"/>
      <w:bookmarkEnd w:id="1"/>
    </w:p>
    <w:p w14:paraId="38DA67C9" w14:textId="77777777" w:rsidR="002B792B" w:rsidRPr="002B792B" w:rsidRDefault="002B792B" w:rsidP="002B792B">
      <w:pPr>
        <w:spacing w:line="360" w:lineRule="auto"/>
        <w:ind w:left="567" w:right="521"/>
        <w:jc w:val="both"/>
        <w:rPr>
          <w:rFonts w:eastAsia="Calibri" w:cs="Times New Roman"/>
          <w:i/>
          <w:iCs/>
        </w:rPr>
      </w:pPr>
      <w:r w:rsidRPr="002B792B">
        <w:rPr>
          <w:rFonts w:eastAsia="Calibri" w:cs="Times New Roman"/>
          <w:i/>
          <w:iCs/>
        </w:rPr>
        <w:t xml:space="preserve">Despite extensive research within terrorism studies, the existing scholarship fails to provide effective non-kinetic counter-violent extremism strategies primarily because of its over-emphasis on violent areas. Existing scholarship mainly focuses on countering violent extremism by studying the dynamics of violent-prone communities. Why are some areas more peaceful? This question is seldom asked.  This study explores the community dynamics of Karak, which remains peaceful despite being in the conflict-prone southern KP. In line with social capital theory, semi-structured interviews are conducted with diverse stakeholders in Karak. Through thematic analysis, four main themes are explored in the data: community policing manifesting in outsiders’ interrogation and community force, public-government integration which manifests in close coordination between the community and LEAs, participatory consultations and dispute resolution mechanisms manifesting in frequent meetings and effective dispute resolutions, and social unity which primarily manifests in volunteerism tendencies and collective action ability. These four inter-related community dynamics foster an inhospitable environment for extremist tendencies. The findings of this study will potentially redefine the strategies through which the state deals with violent extremism. It fundamentally highlights that it is pivotal to study the communities which do not subscribe to violent extremism despite the presence of the enabling factors. The study findings highlight the vitality of leveraging local community </w:t>
      </w:r>
      <w:r w:rsidRPr="002B792B">
        <w:rPr>
          <w:rFonts w:eastAsia="Calibri" w:cs="Times New Roman"/>
          <w:i/>
          <w:iCs/>
        </w:rPr>
        <w:lastRenderedPageBreak/>
        <w:t>dynamics to counter violent extremism instead of relying solely on top-down state-led approaches.</w:t>
      </w:r>
    </w:p>
    <w:p w14:paraId="4D153B60" w14:textId="77777777" w:rsidR="0057384A" w:rsidRDefault="0057384A" w:rsidP="0057384A">
      <w:pPr>
        <w:spacing w:line="360" w:lineRule="auto"/>
      </w:pPr>
      <w:r w:rsidRPr="0057384A">
        <w:rPr>
          <w:b/>
          <w:bCs/>
        </w:rPr>
        <w:t>Key Words:</w:t>
      </w:r>
      <w:r>
        <w:t xml:space="preserve"> community resilience, violent extremism, community policing, integration,</w:t>
      </w:r>
    </w:p>
    <w:p w14:paraId="2A38F4AE" w14:textId="68C10517" w:rsidR="0057384A" w:rsidRDefault="0057384A" w:rsidP="0057384A">
      <w:pPr>
        <w:spacing w:line="360" w:lineRule="auto"/>
      </w:pPr>
      <w:r>
        <w:t>social governance.</w:t>
      </w:r>
    </w:p>
    <w:p w14:paraId="45F5D450" w14:textId="2A12D76D" w:rsidR="00AC4660" w:rsidRPr="002B792B" w:rsidRDefault="00AC4660" w:rsidP="00523455">
      <w:pPr>
        <w:spacing w:line="360" w:lineRule="auto"/>
        <w:rPr>
          <w:b/>
          <w:bCs/>
        </w:rPr>
      </w:pPr>
      <w:r w:rsidRPr="002B792B">
        <w:rPr>
          <w:b/>
          <w:bCs/>
        </w:rPr>
        <w:t>Introduction</w:t>
      </w:r>
    </w:p>
    <w:p w14:paraId="226B910E" w14:textId="13A57FBF" w:rsidR="00AC4660" w:rsidRDefault="00AC4660" w:rsidP="00523455">
      <w:pPr>
        <w:spacing w:line="360" w:lineRule="auto"/>
        <w:jc w:val="both"/>
      </w:pPr>
      <w:r>
        <w:tab/>
        <w:t>Violent extremism (VE) emerged as a significant threat to global peace and security</w:t>
      </w:r>
      <w:r w:rsidR="00523455">
        <w:t>, particularly after the 9/11 incidents. Pakistan has become one of the highly affected states due to VE, particularly manifesting in terrorism. Initially, nation-states employ kinetic measures to counter violent extremism. However, with time, policy-makers realize the need for a more nuanced and holistic approach to counter this threat. Accordingly, nation-states transitioned to non-kinetic counter-violent extremism (CVE) strategies. Pakistan also follows suit and employs several non-kinetic CVE strategies, including deradicalization programs, counter-narrative campaigns, madrassa reforms, and socio-economic development initiatives. Nevertheless, the resurgence of VE in Pakistan since August 2021</w:t>
      </w:r>
      <w:r w:rsidR="005B03FF">
        <w:t xml:space="preserve"> severely undermines the vitality of Pakistan’s existing CVE strategies. The resurgence of VE in Pakistan and the limitations of Pakistan’s existing CVE strategies make it imperative to move beyond the horizons and explore an innovative strategy to counter violent extremism. Community resilience offers a promising avenue in this regard. </w:t>
      </w:r>
    </w:p>
    <w:p w14:paraId="1B051549" w14:textId="2528868E" w:rsidR="005B03FF" w:rsidRDefault="005B03FF" w:rsidP="00523455">
      <w:pPr>
        <w:spacing w:line="360" w:lineRule="auto"/>
        <w:jc w:val="both"/>
      </w:pPr>
      <w:r>
        <w:tab/>
        <w:t>Community resilience in terrorism studies can be defined as “</w:t>
      </w:r>
      <w:r w:rsidRPr="005B03FF">
        <w:t>a community’s ability to leverage social capital is understood as the existence of stable trust-based relationships and networks among the actors (civil society, local government, local businesses) to detect radicalization risks, prevent the recruitment of community members into violent extremism, and bounce back after instances of recruitment via learning and adaptability that permits the community to limit future recruitment better.”</w:t>
      </w:r>
      <w:r w:rsidRPr="005B03FF">
        <w:rPr>
          <w:vertAlign w:val="superscript"/>
        </w:rPr>
        <w:footnoteReference w:id="1"/>
      </w:r>
      <w:r>
        <w:t xml:space="preserve"> This study explores the community dynamics of </w:t>
      </w:r>
      <w:r w:rsidR="007A3330">
        <w:t xml:space="preserve">the </w:t>
      </w:r>
      <w:r>
        <w:t xml:space="preserve">district </w:t>
      </w:r>
      <w:r w:rsidR="007A3330">
        <w:t xml:space="preserve">of </w:t>
      </w:r>
      <w:r>
        <w:t>Karak and how they help in PVE</w:t>
      </w:r>
      <w:r w:rsidR="007A3330">
        <w:t xml:space="preserve"> by posing a central question: how does Karak’s community dynamics enhance its community resilience against violent extremism? Karak has remained peaceful despite being in a conflict-prone southern Khyber Pakhtunkhwa Province (KP), making it a classic example to study community resilience. This study employs semi-structured field interviews with diverse stakeholders in Karak to gain an in-</w:t>
      </w:r>
      <w:r w:rsidR="007A3330">
        <w:lastRenderedPageBreak/>
        <w:t xml:space="preserve">depth understanding of Karak’s community dynamics. </w:t>
      </w:r>
      <w:r w:rsidR="00744457">
        <w:t xml:space="preserve">Unlike other studies of terrorism, which mainly focus on the causes of VE in violent-prone areas, this study explores the dynamics of a peaceful area – the community dynamics that hinder VE. </w:t>
      </w:r>
      <w:r w:rsidR="007A3330">
        <w:t xml:space="preserve">The study's primary objective is to understand the role of community dynamics in Preventing Violent Extremism (PVE). </w:t>
      </w:r>
    </w:p>
    <w:p w14:paraId="5E9BE416" w14:textId="3E105015" w:rsidR="007A3330" w:rsidRDefault="007A3330" w:rsidP="00523455">
      <w:pPr>
        <w:spacing w:line="360" w:lineRule="auto"/>
        <w:jc w:val="both"/>
      </w:pPr>
      <w:r>
        <w:tab/>
        <w:t xml:space="preserve">This study identifies four primary interconnected pillars that enhance Karak’s resilience against VE: community policing, public-government integration, participatory consultations and dispute resolution mechanisms (DRMs), and social unity. </w:t>
      </w:r>
      <w:r w:rsidR="00000BB3">
        <w:t>The research posits that these dynamics create an inhospitable environment for extremist tendencies through early threat detection, trust-based relationships between community members and law enforcement agencies (LEAs), an inclusive decision-making process, and robust social cohesion. In line with these findings, a conceptual framework</w:t>
      </w:r>
      <w:r w:rsidR="00744457">
        <w:t xml:space="preserve"> is developed offering a novel perspective on leveraging community dynamics to prevent violent extremism. The framework can be adapted to other areas facing VE. Eliminating the enabling factors of VE may not be a realistic option for Pakistan. The ideas in the proposed framework are more realistic and will likely prove vital in PVE in Pakistan.</w:t>
      </w:r>
    </w:p>
    <w:p w14:paraId="56CEDDA0" w14:textId="494D4671" w:rsidR="001F4032" w:rsidRPr="006226BC" w:rsidRDefault="001F4032" w:rsidP="00523455">
      <w:pPr>
        <w:spacing w:line="360" w:lineRule="auto"/>
        <w:jc w:val="both"/>
        <w:rPr>
          <w:b/>
          <w:bCs/>
        </w:rPr>
      </w:pPr>
      <w:r w:rsidRPr="006226BC">
        <w:rPr>
          <w:b/>
          <w:bCs/>
        </w:rPr>
        <w:t>Literature Review</w:t>
      </w:r>
    </w:p>
    <w:p w14:paraId="7F15F27A" w14:textId="02E1D631" w:rsidR="001F4032" w:rsidRDefault="001F4032" w:rsidP="00523455">
      <w:pPr>
        <w:spacing w:line="360" w:lineRule="auto"/>
        <w:jc w:val="both"/>
      </w:pPr>
      <w:r>
        <w:tab/>
        <w:t>Violence disrupts communities' day-to-day functions in diverse ways. The affected communities are complex and varied in many aspects, making it difficult to predict and control them externally. Accordingly, many scholars explore the significance of local dynamics in preventing violent extremism</w:t>
      </w:r>
      <w:r w:rsidR="00852472">
        <w:t xml:space="preserve">, which emerged as </w:t>
      </w:r>
      <w:r w:rsidR="0014609B">
        <w:t>the</w:t>
      </w:r>
      <w:r w:rsidR="00852472">
        <w:t xml:space="preserve"> first theme in this literature review</w:t>
      </w:r>
      <w:r>
        <w:t>. Saraiva and Erfe argue that communities will likely prove consequential in crafting community-embedded context-specific strategies to counter violent extremism.</w:t>
      </w:r>
      <w:r w:rsidR="00300324">
        <w:rPr>
          <w:rStyle w:val="FootnoteReference"/>
        </w:rPr>
        <w:footnoteReference w:id="2"/>
      </w:r>
      <w:r>
        <w:t xml:space="preserve"> Communities are better equipped with local dynamics and needs. Therefore, </w:t>
      </w:r>
      <w:r w:rsidR="00D013E7">
        <w:t>states must let</w:t>
      </w:r>
      <w:r>
        <w:t xml:space="preserve"> the communities shape their counter-violent extremism strategies. Ekici et al. opine a similar idea and argue that the top-down counter-violent extremism approaches mainly failed </w:t>
      </w:r>
      <w:r>
        <w:lastRenderedPageBreak/>
        <w:t>because they are not locally driven.</w:t>
      </w:r>
      <w:r w:rsidR="00300324">
        <w:rPr>
          <w:rStyle w:val="FootnoteReference"/>
        </w:rPr>
        <w:footnoteReference w:id="3"/>
      </w:r>
      <w:r>
        <w:t xml:space="preserve"> Local-turn can prove pivotal in local parties' ownership of the issue, which may encourage them to engage in meaningful interactions.</w:t>
      </w:r>
    </w:p>
    <w:p w14:paraId="257D5A81" w14:textId="584B4F16" w:rsidR="007C373F" w:rsidRDefault="001F4032" w:rsidP="00523455">
      <w:pPr>
        <w:spacing w:line="360" w:lineRule="auto"/>
        <w:jc w:val="both"/>
      </w:pPr>
      <w:r>
        <w:tab/>
        <w:t xml:space="preserve">The proponents of </w:t>
      </w:r>
      <w:r w:rsidR="007C373F">
        <w:t>a local turn in community resilience urge practitioners to stop trying to fix societal issues through external intervention. Metre and Caldre assume that external interventions are usually ineffective in conflict management.</w:t>
      </w:r>
      <w:r w:rsidR="00300324">
        <w:rPr>
          <w:rStyle w:val="FootnoteReference"/>
        </w:rPr>
        <w:footnoteReference w:id="4"/>
      </w:r>
      <w:r w:rsidR="007C373F">
        <w:t xml:space="preserve"> State-led interventions mostly bypass the conflict interplay rooted in local dynamics, which results in little or no success. Henceforth, states need to encourage community-led initiatives to settle conflicts. Wimelius et al. believe that community-led initiatives are driven by local actors who understand the local dynamics, including the root causes of the conflict and people's involvement.</w:t>
      </w:r>
      <w:r w:rsidR="00300324">
        <w:rPr>
          <w:rStyle w:val="FootnoteReference"/>
        </w:rPr>
        <w:footnoteReference w:id="5"/>
      </w:r>
      <w:r w:rsidR="007C373F">
        <w:t xml:space="preserve"> They are aware of the societal sensitivities. </w:t>
      </w:r>
      <w:r w:rsidR="00852472">
        <w:t xml:space="preserve">These dynamics make local context central to the research agenda and policy making. Finally, </w:t>
      </w:r>
      <w:r w:rsidR="007C373F">
        <w:t xml:space="preserve">Ginty and Richmond mark the local turn in peacebuilding as terra nullius for liberal peace epistemology, and </w:t>
      </w:r>
      <w:r w:rsidR="00852472">
        <w:t>call it the subaltern view of peacebuilding.</w:t>
      </w:r>
      <w:r w:rsidR="00300324">
        <w:rPr>
          <w:rStyle w:val="FootnoteReference"/>
        </w:rPr>
        <w:footnoteReference w:id="6"/>
      </w:r>
    </w:p>
    <w:p w14:paraId="0C2EF2EE" w14:textId="5CDC4B5D" w:rsidR="001F4032" w:rsidRDefault="004C3CA3" w:rsidP="00523455">
      <w:pPr>
        <w:spacing w:line="360" w:lineRule="auto"/>
        <w:jc w:val="both"/>
      </w:pPr>
      <w:r>
        <w:tab/>
        <w:t>Many scholars explore the essential factors that enhance community resilience, which emerged as the second theme in the literature review. Metre and Caldre conclude that resilient communities are socially cohesive and ingrained with collective action abilities.</w:t>
      </w:r>
      <w:r w:rsidR="00300324">
        <w:rPr>
          <w:rStyle w:val="FootnoteReference"/>
        </w:rPr>
        <w:footnoteReference w:id="7"/>
      </w:r>
      <w:r>
        <w:t xml:space="preserve"> Social cohesion provides the conditions to withstand the shocks from violent extremism, while collective action enhances the community’s well-being. </w:t>
      </w:r>
      <w:r w:rsidR="00755EE3">
        <w:t xml:space="preserve">Sampson et al. argue that social bonds and collective action abilities are central </w:t>
      </w:r>
      <w:r w:rsidR="00D013E7">
        <w:t>to</w:t>
      </w:r>
      <w:r w:rsidR="00755EE3">
        <w:t xml:space="preserve"> community resilience.</w:t>
      </w:r>
      <w:r w:rsidR="00300324">
        <w:rPr>
          <w:rStyle w:val="FootnoteReference"/>
        </w:rPr>
        <w:footnoteReference w:id="8"/>
      </w:r>
      <w:r w:rsidR="00755EE3">
        <w:t xml:space="preserve"> </w:t>
      </w:r>
      <w:r>
        <w:t xml:space="preserve">Elis and Abdi maintained that social bonding (connections within </w:t>
      </w:r>
      <w:r w:rsidR="00755EE3">
        <w:t>a community</w:t>
      </w:r>
      <w:r>
        <w:t xml:space="preserve">), bridging (relation between </w:t>
      </w:r>
      <w:r w:rsidR="00755EE3">
        <w:t>communities), and linking (relation of community members with its institutions) are central pillars of community resilience.</w:t>
      </w:r>
      <w:r w:rsidR="00300324">
        <w:rPr>
          <w:rStyle w:val="FootnoteReference"/>
        </w:rPr>
        <w:footnoteReference w:id="9"/>
      </w:r>
      <w:r w:rsidR="00755EE3">
        <w:t xml:space="preserve"> Hirschi’s work emphasizes the importance of strong family and societal bonds in resilient communities. Kurzman highlights the importance of family </w:t>
      </w:r>
      <w:r w:rsidR="00755EE3">
        <w:lastRenderedPageBreak/>
        <w:t>obligations in resilient communities and argues that individuals with robust family connections are less prone to embrace extremist ideologies.</w:t>
      </w:r>
      <w:r w:rsidR="00300324">
        <w:rPr>
          <w:rStyle w:val="FootnoteReference"/>
        </w:rPr>
        <w:footnoteReference w:id="10"/>
      </w:r>
      <w:r w:rsidR="00755EE3">
        <w:t xml:space="preserve"> Wilson’s work supports Kurzman’s hypothesis by showing that many individuals resist violent extremism due to family concerns.</w:t>
      </w:r>
      <w:r w:rsidR="00300324">
        <w:rPr>
          <w:rStyle w:val="FootnoteReference"/>
        </w:rPr>
        <w:footnoteReference w:id="11"/>
      </w:r>
    </w:p>
    <w:p w14:paraId="50F97EC6" w14:textId="28F4625A" w:rsidR="005D1132" w:rsidRDefault="00755EE3" w:rsidP="00523455">
      <w:pPr>
        <w:spacing w:line="360" w:lineRule="auto"/>
        <w:jc w:val="both"/>
      </w:pPr>
      <w:r>
        <w:tab/>
        <w:t xml:space="preserve">Community resilience is an emerging field and </w:t>
      </w:r>
      <w:r w:rsidR="005604E2">
        <w:t>has yet to be practiced by states against violent extremism. However, there are two significant case studies of community resilience programs: Minneapolis and St. Paul in the United States</w:t>
      </w:r>
      <w:r>
        <w:t xml:space="preserve"> and Victoria in Australia.</w:t>
      </w:r>
      <w:r w:rsidR="005604E2">
        <w:t xml:space="preserve"> The community resilience project in the United States backfired because a state institution led it, the Federal Bureau of Investigation (FBI). The FBI's involvement hindered social bonding within the community by creating suspicion, which negatively affected the community's resilience in the given communities. Salyk-Virk’s study on the US community resilience project concludes that the project's failure was primarily due to FBI-led top-down implementation.</w:t>
      </w:r>
      <w:r w:rsidR="00300324">
        <w:rPr>
          <w:rStyle w:val="FootnoteReference"/>
        </w:rPr>
        <w:footnoteReference w:id="12"/>
      </w:r>
      <w:r w:rsidR="005604E2">
        <w:t xml:space="preserve"> Virk suggests that community resilience programs must be </w:t>
      </w:r>
      <w:r w:rsidR="00D013E7">
        <w:t xml:space="preserve">community-led, </w:t>
      </w:r>
      <w:r w:rsidR="005604E2">
        <w:t>with minimal state intervention.</w:t>
      </w:r>
      <w:r w:rsidR="00737EB0">
        <w:rPr>
          <w:rStyle w:val="FootnoteReference"/>
        </w:rPr>
        <w:footnoteReference w:id="13"/>
      </w:r>
      <w:r w:rsidR="005604E2">
        <w:t xml:space="preserve"> The Victoria community resilience projects were mainly successful. Despite being home to diverse ethnic and religious communities, Victoria remains peaceful. </w:t>
      </w:r>
      <w:r w:rsidR="00D013E7">
        <w:t>Halafoff explores Victoria’s community resilience projects and concludes that inclusionary political practices and adequate multiculturalism policies will likely prove consequential in preventing violent extremism.</w:t>
      </w:r>
      <w:r w:rsidR="00737EB0">
        <w:rPr>
          <w:rStyle w:val="FootnoteReference"/>
        </w:rPr>
        <w:footnoteReference w:id="14"/>
      </w:r>
      <w:r w:rsidR="00D013E7">
        <w:t xml:space="preserve"> She also argues that the authorities' fairness and concern for human rights are crucial for resilience. When authorities are fair in the public's eyes, the community will cooperate with them, which is a determining factor in community resilience.</w:t>
      </w:r>
      <w:r w:rsidR="00737EB0">
        <w:rPr>
          <w:rStyle w:val="FootnoteReference"/>
        </w:rPr>
        <w:footnoteReference w:id="15"/>
      </w:r>
      <w:r w:rsidR="00D013E7">
        <w:t xml:space="preserve"> Tyler’s work shows that individuals are more likely to report extremist tendencies when they consider authorities legitimate.</w:t>
      </w:r>
      <w:r w:rsidR="00737EB0">
        <w:rPr>
          <w:rStyle w:val="FootnoteReference"/>
        </w:rPr>
        <w:footnoteReference w:id="16"/>
      </w:r>
    </w:p>
    <w:p w14:paraId="5B5FA0F7" w14:textId="77777777" w:rsidR="007279A4" w:rsidRDefault="007279A4" w:rsidP="00523455">
      <w:pPr>
        <w:spacing w:line="360" w:lineRule="auto"/>
        <w:jc w:val="both"/>
        <w:rPr>
          <w:b/>
          <w:bCs/>
        </w:rPr>
      </w:pPr>
    </w:p>
    <w:p w14:paraId="1349FEF6" w14:textId="4FED3D90" w:rsidR="005D1132" w:rsidRPr="006226BC" w:rsidRDefault="005D1132" w:rsidP="00523455">
      <w:pPr>
        <w:spacing w:line="360" w:lineRule="auto"/>
        <w:jc w:val="both"/>
        <w:rPr>
          <w:b/>
          <w:bCs/>
        </w:rPr>
      </w:pPr>
      <w:r w:rsidRPr="006226BC">
        <w:rPr>
          <w:b/>
          <w:bCs/>
        </w:rPr>
        <w:lastRenderedPageBreak/>
        <w:t>Research Methodology</w:t>
      </w:r>
    </w:p>
    <w:p w14:paraId="68AB0ADC" w14:textId="722EC5BC" w:rsidR="005D1132" w:rsidRDefault="005D1132" w:rsidP="00523455">
      <w:pPr>
        <w:spacing w:line="360" w:lineRule="auto"/>
        <w:jc w:val="both"/>
      </w:pPr>
      <w:r>
        <w:tab/>
        <w:t xml:space="preserve">Philosophically, this study falls into the postpositivist paradigm of social sciences, with a subjective ontological and concurrent interpretivist epistemological position. Community resilience is manifested through social relations, which are measured in this study. The role of community resilience in preventing violent extremism is an unexplored phenomenon in Pakistan. Accordingly, qualitative methods are utilized in this study, which enable a researcher to delve into uncharted territory and study a phenomenon with all its nuances. This is also an exploratory study. An exploratory research design is pivotal in an in-depth analysis of a new phenomenon. This study is limited to Karak, relying on a detailed study of Karak’s community dynamics. </w:t>
      </w:r>
    </w:p>
    <w:p w14:paraId="40CA82E6" w14:textId="1868A9DA" w:rsidR="005D1132" w:rsidRDefault="005D1132" w:rsidP="00523455">
      <w:pPr>
        <w:spacing w:line="360" w:lineRule="auto"/>
        <w:jc w:val="both"/>
      </w:pPr>
      <w:r>
        <w:tab/>
      </w:r>
      <w:r w:rsidR="00FD6C7B">
        <w:t>This is an inductive study in line with the Grounded Theory methodology in social science, which advocates theory generation from grounded data. This study followed Strauss’s approach</w:t>
      </w:r>
      <w:r w:rsidR="00B44CC4">
        <w:rPr>
          <w:rStyle w:val="FootnoteReference"/>
        </w:rPr>
        <w:footnoteReference w:id="17"/>
      </w:r>
      <w:r w:rsidR="00FD6C7B">
        <w:t xml:space="preserve"> to data collection. Data was mainly collected through semi-structured field interviews from J</w:t>
      </w:r>
      <w:r w:rsidR="00B44CC4">
        <w:t>a</w:t>
      </w:r>
      <w:r w:rsidR="00FD6C7B">
        <w:t>nuary 1 to January 16, 2025. The interview protocol was consciously designed to incorporate maximum indicators of community resilience. However, the protocol was amended after the initial few interviews. Purposive, convenience, and snowball sampling methods were utilized in this study to reach out to potential interviewees. Interviewees were mainly local elected members, community elders, religious clerics (</w:t>
      </w:r>
      <w:r w:rsidR="00FD6C7B" w:rsidRPr="00B44CC4">
        <w:rPr>
          <w:i/>
          <w:iCs/>
        </w:rPr>
        <w:t>Ulema</w:t>
      </w:r>
      <w:r w:rsidR="00FD6C7B">
        <w:t>), academicians, and de-radicalized individuals' family members.</w:t>
      </w:r>
      <w:r w:rsidR="007279A4">
        <w:t xml:space="preserve"> Upon majority interviewees request, pseudo names are used for interviewees to ensure their anonymity. </w:t>
      </w:r>
      <w:r w:rsidR="00FD6C7B">
        <w:t xml:space="preserve">To ensure data triangulation, district administration officials and police officers are also interviewed. Theoretical triangulation of collected data is also carried </w:t>
      </w:r>
      <w:r w:rsidR="00C82746">
        <w:t xml:space="preserve">out </w:t>
      </w:r>
      <w:r w:rsidR="00FD6C7B">
        <w:t>to</w:t>
      </w:r>
      <w:r w:rsidR="00C82746">
        <w:t xml:space="preserve"> place the findings in existing literature. </w:t>
      </w:r>
    </w:p>
    <w:p w14:paraId="7157C9FC" w14:textId="4A8F8A21" w:rsidR="00C82746" w:rsidRDefault="00487716" w:rsidP="00523455">
      <w:pPr>
        <w:spacing w:line="360" w:lineRule="auto"/>
        <w:jc w:val="both"/>
      </w:pPr>
      <w:r>
        <w:tab/>
        <w:t>The collected data is analyzed using thematic analysis, which enables a researcher to uncover hidden meanings in the text. The study follows Braun and Clarke's six stages of thematic analysis, including data transcription and familiarization, initial code generation, searching for themes, reviewing themes, defining and naming themes, and producing the reports.</w:t>
      </w:r>
      <w:r w:rsidR="00B44CC4">
        <w:rPr>
          <w:rStyle w:val="FootnoteReference"/>
        </w:rPr>
        <w:footnoteReference w:id="18"/>
      </w:r>
      <w:r>
        <w:t xml:space="preserve"> The process of thematic analysis was also complemented by AI tools such as ATLAS.ti and NVivo 15. Initially, ATLAS.ti was used for coding in the data, and the codes were manually refined later. </w:t>
      </w:r>
      <w:r w:rsidR="009230EC">
        <w:t xml:space="preserve">NVivo 15 was used for themes generation within the data, which </w:t>
      </w:r>
      <w:r w:rsidR="009230EC">
        <w:lastRenderedPageBreak/>
        <w:t xml:space="preserve">were triangulated with the manually defined themes. Most of the codes generated by ATLAS.ti and themes generated by NVivo 15 were discarded because they were not context-specific. At the end, four primary themes and eleven sub-themes were finalized from the </w:t>
      </w:r>
      <w:r w:rsidR="001941D9">
        <w:t>interview</w:t>
      </w:r>
      <w:r w:rsidR="009230EC">
        <w:t xml:space="preserve"> data. </w:t>
      </w:r>
    </w:p>
    <w:p w14:paraId="151DEFCF" w14:textId="77777777" w:rsidR="00B44CC4" w:rsidRPr="00104B13" w:rsidRDefault="00B44CC4" w:rsidP="00B44CC4">
      <w:pPr>
        <w:spacing w:line="360" w:lineRule="auto"/>
        <w:jc w:val="both"/>
        <w:rPr>
          <w:b/>
          <w:bCs/>
        </w:rPr>
      </w:pPr>
      <w:r w:rsidRPr="00104B13">
        <w:rPr>
          <w:b/>
          <w:bCs/>
        </w:rPr>
        <w:t>Overview of Pakistan’s Existing Non-Kinetic CVE Strategies</w:t>
      </w:r>
    </w:p>
    <w:p w14:paraId="00552706" w14:textId="7AD828B9" w:rsidR="00B44CC4" w:rsidRDefault="00B44CC4" w:rsidP="00523455">
      <w:pPr>
        <w:spacing w:line="360" w:lineRule="auto"/>
        <w:jc w:val="both"/>
      </w:pPr>
      <w:r>
        <w:tab/>
        <w:t>Violent extremism, primarily manifesting in terrorism, has been a long-standing challenge for Pakistan, particularly since the 9/11 attacks and Pakistan’s subsequent alliance with the US. Pakistan has suffered more than 80,000 deaths and US$ 130 billion in economic losses.</w:t>
      </w:r>
      <w:r w:rsidR="00E811AA">
        <w:rPr>
          <w:rStyle w:val="FootnoteReference"/>
        </w:rPr>
        <w:footnoteReference w:id="19"/>
      </w:r>
      <w:r>
        <w:t xml:space="preserve"> The social and cultural damages are immeasurable. Historically, Pakistan mainly relied on kinetic (military) strategies to counter VE. However, with time, Pakistan has shifted to non-kinetic CVE strategies.</w:t>
      </w:r>
      <w:r w:rsidR="00E811AA">
        <w:rPr>
          <w:rStyle w:val="FootnoteReference"/>
        </w:rPr>
        <w:footnoteReference w:id="20"/>
      </w:r>
      <w:r>
        <w:t xml:space="preserve"> Pakistan’s most important non-kinetic CVE strategies include deradicalization programs, counter-narratives, madrassa reforms, and socio-economic development initiatives.</w:t>
      </w:r>
      <w:r w:rsidR="00E811AA">
        <w:rPr>
          <w:rStyle w:val="FootnoteReference"/>
        </w:rPr>
        <w:footnoteReference w:id="21"/>
      </w:r>
      <w:r>
        <w:t xml:space="preserve"> Few significant deradicalization programs include Mishal, Sabaoon, and Sparley,</w:t>
      </w:r>
      <w:r w:rsidR="00E811AA">
        <w:rPr>
          <w:rStyle w:val="FootnoteReference"/>
        </w:rPr>
        <w:footnoteReference w:id="22"/>
      </w:r>
      <w:r>
        <w:t xml:space="preserve"> while the most significant counter-narrative program is Paigham-e-Pakistan.</w:t>
      </w:r>
      <w:r w:rsidR="00E811AA">
        <w:rPr>
          <w:rStyle w:val="FootnoteReference"/>
        </w:rPr>
        <w:footnoteReference w:id="23"/>
      </w:r>
      <w:r>
        <w:t xml:space="preserve"> These strategies are mentioned in Pakistan’s national security documents, including the National Internal Security Policy (NISP) and the National Security Policy (NSP).</w:t>
      </w:r>
      <w:r w:rsidR="00963CBC">
        <w:rPr>
          <w:rStyle w:val="FootnoteReference"/>
        </w:rPr>
        <w:footnoteReference w:id="24"/>
      </w:r>
      <w:r>
        <w:t xml:space="preserve"> The resurgence of VE in Pakistan since August 2021 highlights the inadequacies of these strategies. There are many challenges associated with these strategies. Some major challenges include budgetary constraints, credibility issues, and limited reach.</w:t>
      </w:r>
      <w:r w:rsidR="00963CBC">
        <w:rPr>
          <w:rStyle w:val="FootnoteReference"/>
        </w:rPr>
        <w:footnoteReference w:id="25"/>
      </w:r>
      <w:r>
        <w:t xml:space="preserve"> The inadequacy of existing non-kinetic CVE strategies signifies a need for more innovative and </w:t>
      </w:r>
      <w:r>
        <w:lastRenderedPageBreak/>
        <w:t>culturally sensitive approaches. Community resilience offers a promising avenue in this regard.</w:t>
      </w:r>
    </w:p>
    <w:p w14:paraId="13E4DE65" w14:textId="05BCE489" w:rsidR="00D02083" w:rsidRPr="00D02083" w:rsidRDefault="00B44CC4" w:rsidP="00523455">
      <w:pPr>
        <w:spacing w:line="360" w:lineRule="auto"/>
        <w:jc w:val="both"/>
        <w:rPr>
          <w:b/>
          <w:bCs/>
        </w:rPr>
      </w:pPr>
      <w:r>
        <w:rPr>
          <w:b/>
          <w:bCs/>
        </w:rPr>
        <w:t>Resurgence of</w:t>
      </w:r>
      <w:r w:rsidR="00D02083" w:rsidRPr="00D02083">
        <w:rPr>
          <w:b/>
          <w:bCs/>
        </w:rPr>
        <w:t xml:space="preserve"> VE in Pakistan</w:t>
      </w:r>
    </w:p>
    <w:p w14:paraId="4E3473A0" w14:textId="17E8D9B3" w:rsidR="00D02083" w:rsidRDefault="00D02083" w:rsidP="00523455">
      <w:pPr>
        <w:spacing w:line="360" w:lineRule="auto"/>
        <w:jc w:val="both"/>
      </w:pPr>
      <w:r>
        <w:tab/>
        <w:t>Since the Fall of Kabul in August 2021 in the Taliban’s favor, VE has surged in Pakistan, particularly in the KP region. Pakistan Institute for Peace Studies (PIPS) data shows that 205 terrorist attacks occurred in Pakistan in 2021.</w:t>
      </w:r>
      <w:r w:rsidR="005078F6">
        <w:rPr>
          <w:rStyle w:val="FootnoteReference"/>
        </w:rPr>
        <w:footnoteReference w:id="26"/>
      </w:r>
      <w:r>
        <w:t xml:space="preserve"> KP was a home to 54% of these attacks. Within KP, the attacks were mainly concentrated in its Southern part. In 2022, the total number of terrorist attacks surged to 261, with KP being home to 67% of them.</w:t>
      </w:r>
      <w:r w:rsidR="005078F6">
        <w:rPr>
          <w:rStyle w:val="FootnoteReference"/>
        </w:rPr>
        <w:footnoteReference w:id="27"/>
      </w:r>
      <w:r>
        <w:t xml:space="preserve"> 2023 marked another surge in terrorist attacks, as the attacks climbed to 306, with 52% in the KP region. Within KP, 82% of attacks were concentrated in its Southern part in 2023.</w:t>
      </w:r>
      <w:r w:rsidR="005078F6">
        <w:rPr>
          <w:rStyle w:val="FootnoteReference"/>
        </w:rPr>
        <w:footnoteReference w:id="28"/>
      </w:r>
      <w:r>
        <w:t xml:space="preserve"> In 2024, 521 terrorist attacks took place in Pakistan, out of which 295, around 57%, occurred in the KP.</w:t>
      </w:r>
      <w:r w:rsidR="005078F6">
        <w:rPr>
          <w:rStyle w:val="FootnoteReference"/>
        </w:rPr>
        <w:footnoteReference w:id="29"/>
      </w:r>
      <w:r>
        <w:t xml:space="preserve"> Within KP, 171/295 attacks, around 58%, took place in its Southern region. The terrorists’ attacks concentration in Southern KP emerged as a dominant theme within the data. One of the leading reasons for terrorist attacks in this region is the presence of local violent groups and their merger with the TTP. For instance, Lakki Marwat became a hotspot of terrorist activities when a local faction led by Tipu Gul Mehsud, a native. Intriguingly, district Karak, despite being in the terrorist-ridden Southern KP, remains peaceful. Hardly any attacks, most of which are failed ones, are reported in Karak. This can be attributed to the community dynamics of Karak, which have been explored in this study. </w:t>
      </w:r>
    </w:p>
    <w:p w14:paraId="2F286810" w14:textId="44560748" w:rsidR="00104B13" w:rsidRDefault="00D02083" w:rsidP="00523455">
      <w:pPr>
        <w:spacing w:line="360" w:lineRule="auto"/>
        <w:jc w:val="both"/>
        <w:rPr>
          <w:b/>
          <w:bCs/>
        </w:rPr>
      </w:pPr>
      <w:r>
        <w:tab/>
        <w:t>Karak is a small Southern KP district with a population of around eight lac (per 2023 census) and comprising three Tehsils</w:t>
      </w:r>
      <w:r w:rsidR="008D6189">
        <w:t>: Karak</w:t>
      </w:r>
      <w:r>
        <w:t xml:space="preserve">, Takht-e-Nasrati, and Banda Daud Shah. Mianwali, Laki Marwat, Bannu, Hangu, and Kohat surround it. Ethnic Khattaks predominantly inhabit it, and almost everyone speaks Pashto. The population is mainly rural (around 93%), and its literacy rate is around 65%. Villages in the peripheries of Karak, particularly the ones bounded by Lakki Marwat and Bannu, are potential extremist entry </w:t>
      </w:r>
      <w:r w:rsidRPr="00B44CC4">
        <w:t>points. Key vulnerable areas include Darsha Khel, Mandawa, Tor Adam, Shahidan Wazir, and Gurguri. These villages are prone to violent extremism as volatile regions surround them. These villages are marked as choke points and gateways of extremism entering Karak.</w:t>
      </w:r>
      <w:r w:rsidRPr="00104B13">
        <w:rPr>
          <w:b/>
          <w:bCs/>
        </w:rPr>
        <w:t xml:space="preserve"> </w:t>
      </w:r>
    </w:p>
    <w:p w14:paraId="5AB8491E" w14:textId="77777777" w:rsidR="00B76186" w:rsidRPr="005078F6" w:rsidRDefault="00B76186" w:rsidP="00523455">
      <w:pPr>
        <w:spacing w:line="360" w:lineRule="auto"/>
        <w:jc w:val="both"/>
        <w:rPr>
          <w:b/>
          <w:bCs/>
        </w:rPr>
      </w:pPr>
    </w:p>
    <w:p w14:paraId="2B6557E5" w14:textId="6309F05C" w:rsidR="00494A04" w:rsidRDefault="006226BC" w:rsidP="00523455">
      <w:pPr>
        <w:spacing w:line="360" w:lineRule="auto"/>
        <w:jc w:val="center"/>
        <w:rPr>
          <w:b/>
          <w:bCs/>
        </w:rPr>
      </w:pPr>
      <w:r w:rsidRPr="006226BC">
        <w:rPr>
          <w:b/>
          <w:bCs/>
        </w:rPr>
        <w:lastRenderedPageBreak/>
        <w:t>Data Findings and Analysis</w:t>
      </w:r>
    </w:p>
    <w:p w14:paraId="40FABAC2" w14:textId="2950F63A" w:rsidR="006226BC" w:rsidRDefault="006226BC" w:rsidP="00523455">
      <w:pPr>
        <w:spacing w:line="360" w:lineRule="auto"/>
        <w:jc w:val="both"/>
      </w:pPr>
      <w:r>
        <w:tab/>
        <w:t>Based on semi-structured interviews with various stakeholders in Karak,</w:t>
      </w:r>
      <w:r w:rsidR="00717F47">
        <w:t xml:space="preserve"> this study explored four interrelated, mutually inclusive, and reinforcing themes that enhance Karak’s community resilience against VE. The four themes include community policing, public-government integration, participatory consultations and dispute resolution mechanisms (DRMs), and social unity. These four pillars collectively create an inhospitable environment for extremist tendencies in Karak that eventually prevent VE. This section discusses each theme and its role in PVE in Karak.</w:t>
      </w:r>
    </w:p>
    <w:p w14:paraId="57672549" w14:textId="0CC0724F" w:rsidR="00494A04" w:rsidRPr="00F2563A" w:rsidRDefault="00494A04" w:rsidP="00523455">
      <w:pPr>
        <w:pStyle w:val="ListParagraph"/>
        <w:numPr>
          <w:ilvl w:val="0"/>
          <w:numId w:val="1"/>
        </w:numPr>
        <w:spacing w:line="360" w:lineRule="auto"/>
        <w:jc w:val="both"/>
        <w:rPr>
          <w:b/>
          <w:bCs/>
        </w:rPr>
      </w:pPr>
      <w:r w:rsidRPr="00F2563A">
        <w:rPr>
          <w:b/>
          <w:bCs/>
        </w:rPr>
        <w:t>Community Policing</w:t>
      </w:r>
    </w:p>
    <w:p w14:paraId="2B0E349E" w14:textId="3D50690C" w:rsidR="00494A04" w:rsidRDefault="00494A04" w:rsidP="00523455">
      <w:pPr>
        <w:spacing w:line="360" w:lineRule="auto"/>
        <w:ind w:firstLine="720"/>
        <w:jc w:val="both"/>
      </w:pPr>
      <w:r>
        <w:t>Community policing is a strategy that encourages the systematic use of partnerships between LEAs and the community members</w:t>
      </w:r>
      <w:r w:rsidR="0014609B">
        <w:t>, including local leaders and elders,</w:t>
      </w:r>
      <w:r>
        <w:t xml:space="preserve"> primarily to ensure peace and security in the given community.</w:t>
      </w:r>
      <w:r w:rsidR="00090508">
        <w:rPr>
          <w:rStyle w:val="FootnoteReference"/>
        </w:rPr>
        <w:footnoteReference w:id="30"/>
      </w:r>
      <w:r>
        <w:t xml:space="preserve"> Community policing is </w:t>
      </w:r>
      <w:r w:rsidR="006226BC">
        <w:t>comprised mainly</w:t>
      </w:r>
      <w:r>
        <w:t xml:space="preserve"> of three core elements: citizens/community involvement, problem-solving, and decentralization of power and responsibility.</w:t>
      </w:r>
      <w:r w:rsidR="00090508">
        <w:rPr>
          <w:rStyle w:val="FootnoteReference"/>
        </w:rPr>
        <w:footnoteReference w:id="31"/>
      </w:r>
      <w:r>
        <w:t xml:space="preserve"> The central promise of community policing is to tackle </w:t>
      </w:r>
      <w:r w:rsidR="0014609B">
        <w:t xml:space="preserve">the </w:t>
      </w:r>
      <w:r>
        <w:t xml:space="preserve">community’s problems within the community. It promotes the idea that </w:t>
      </w:r>
      <w:r w:rsidR="0014609B">
        <w:t>ensuring peace and security is not solely LEAs'</w:t>
      </w:r>
      <w:r>
        <w:t xml:space="preserve"> responsibility; rather, the community is </w:t>
      </w:r>
      <w:r w:rsidR="0014609B">
        <w:t>equally responsible because the LEAs cannot achieve their goals without their</w:t>
      </w:r>
      <w:r>
        <w:t xml:space="preserve"> assistance.</w:t>
      </w:r>
      <w:r w:rsidR="00090508">
        <w:rPr>
          <w:rStyle w:val="FootnoteReference"/>
        </w:rPr>
        <w:footnoteReference w:id="32"/>
      </w:r>
      <w:r>
        <w:t xml:space="preserve"> Community policing manifests in Karak in three </w:t>
      </w:r>
      <w:r w:rsidR="0014609B">
        <w:t xml:space="preserve">interrelated strategies: interrogating outsiders, community force formation, and dismantling the </w:t>
      </w:r>
      <w:r>
        <w:t>root causes of issues.</w:t>
      </w:r>
    </w:p>
    <w:p w14:paraId="5B0555BB" w14:textId="15029E20" w:rsidR="00494A04" w:rsidRDefault="00494A04" w:rsidP="00523455">
      <w:pPr>
        <w:spacing w:line="360" w:lineRule="auto"/>
        <w:ind w:firstLine="720"/>
        <w:jc w:val="both"/>
      </w:pPr>
      <w:r>
        <w:t xml:space="preserve">Karak’s homogenous community, predominantly Khattaks, allows its community members </w:t>
      </w:r>
      <w:r w:rsidR="0014609B">
        <w:t>to identify outsiders easily</w:t>
      </w:r>
      <w:r>
        <w:t>. Community members actively question and interrogate outsiders. An interviewee noted, “</w:t>
      </w:r>
      <w:r w:rsidRPr="00F2563A">
        <w:rPr>
          <w:i/>
          <w:iCs/>
        </w:rPr>
        <w:t>Whenever outsiders come to our community, we greet them first. After greetings, we ask them, 'Yes, brother, who are you? From where did you come, and why?”</w:t>
      </w:r>
      <w:r w:rsidR="000025DD">
        <w:rPr>
          <w:rStyle w:val="FootnoteReference"/>
          <w:i/>
          <w:iCs/>
        </w:rPr>
        <w:footnoteReference w:id="33"/>
      </w:r>
      <w:r>
        <w:t xml:space="preserve"> Such vigilance from the community members creates a first line of defense against potential extremist infiltrations. The community members actively utilize social media and mosque loudspeakers to sensitize the community against potential troublemakers. Some other common tactics </w:t>
      </w:r>
      <w:r w:rsidR="0014609B">
        <w:t xml:space="preserve">include offering hospitality to buy time, communicating with community elders, and informing police if the suspicious activity </w:t>
      </w:r>
      <w:r>
        <w:t xml:space="preserve">persists. A district administration officer </w:t>
      </w:r>
      <w:r w:rsidR="0014609B">
        <w:lastRenderedPageBreak/>
        <w:t>acknowledged</w:t>
      </w:r>
      <w:r>
        <w:t xml:space="preserve"> the community’s vigilant response as he stated, </w:t>
      </w:r>
      <w:r w:rsidRPr="00F2563A">
        <w:rPr>
          <w:i/>
          <w:iCs/>
        </w:rPr>
        <w:t>“If any outsider ever comes to Karak, he always remains under the supervision of Khattaks. The local community keeps a record of outsiders' movements.”</w:t>
      </w:r>
      <w:r w:rsidR="00F13B36">
        <w:rPr>
          <w:rStyle w:val="FootnoteReference"/>
          <w:i/>
          <w:iCs/>
        </w:rPr>
        <w:footnoteReference w:id="34"/>
      </w:r>
    </w:p>
    <w:p w14:paraId="76B6D9F2" w14:textId="05F4F529" w:rsidR="00494A04" w:rsidRDefault="00494A04" w:rsidP="00523455">
      <w:pPr>
        <w:spacing w:line="360" w:lineRule="auto"/>
        <w:jc w:val="both"/>
      </w:pPr>
      <w:r>
        <w:tab/>
        <w:t xml:space="preserve">Community force formation is the second dominant sub-theme in which community policing manifests in Karak. The interviews </w:t>
      </w:r>
      <w:r w:rsidR="006226BC">
        <w:t xml:space="preserve">show that the </w:t>
      </w:r>
      <w:r>
        <w:t>Karak community often joins the police in patrolling and securing areas. An interview</w:t>
      </w:r>
      <w:r w:rsidR="001C1D9B">
        <w:t>ee</w:t>
      </w:r>
      <w:r>
        <w:t xml:space="preserve"> noted, </w:t>
      </w:r>
      <w:r w:rsidRPr="001C1D9B">
        <w:rPr>
          <w:i/>
          <w:iCs/>
        </w:rPr>
        <w:t>“We are always with them. The police received some threats, and we came out in their defense. Whenever there are such threats, we stand with our police.”</w:t>
      </w:r>
      <w:r w:rsidR="00F13B36">
        <w:rPr>
          <w:rStyle w:val="FootnoteReference"/>
          <w:i/>
          <w:iCs/>
        </w:rPr>
        <w:footnoteReference w:id="35"/>
      </w:r>
      <w:r>
        <w:t xml:space="preserve"> Community force was present everywhere in Karak. The response was almost ideal. Another intriguing aspect of community force is </w:t>
      </w:r>
      <w:r w:rsidR="006226BC">
        <w:t xml:space="preserve">the formation of independent security groups, like a proposed border force to protect the community against intrusions from the neighboring district of </w:t>
      </w:r>
      <w:r>
        <w:t xml:space="preserve">Lakki Marwat. A community leader stated, </w:t>
      </w:r>
      <w:r w:rsidRPr="001C1D9B">
        <w:rPr>
          <w:i/>
          <w:iCs/>
        </w:rPr>
        <w:t>“We are making a Community Force comprising our area youth to secure that side. The community force will not let anyone enter this site after the evening.”</w:t>
      </w:r>
      <w:r w:rsidR="00F13B36">
        <w:rPr>
          <w:rStyle w:val="FootnoteReference"/>
          <w:i/>
          <w:iCs/>
        </w:rPr>
        <w:footnoteReference w:id="36"/>
      </w:r>
      <w:r>
        <w:t xml:space="preserve"> A senior police officer </w:t>
      </w:r>
      <w:r w:rsidR="006226BC">
        <w:t>acknowledged</w:t>
      </w:r>
      <w:r>
        <w:t xml:space="preserve"> community force services against social evils and argued, </w:t>
      </w:r>
      <w:r w:rsidRPr="001C1D9B">
        <w:rPr>
          <w:i/>
          <w:iCs/>
        </w:rPr>
        <w:t>“The community cooperation with the police in Karak is admirable.”</w:t>
      </w:r>
      <w:r w:rsidR="00F13B36">
        <w:rPr>
          <w:rStyle w:val="FootnoteReference"/>
          <w:i/>
          <w:iCs/>
        </w:rPr>
        <w:footnoteReference w:id="37"/>
      </w:r>
      <w:r>
        <w:t xml:space="preserve"> Community force offers several benefits</w:t>
      </w:r>
      <w:r w:rsidR="006226BC">
        <w:t>: rapid</w:t>
      </w:r>
      <w:r>
        <w:t xml:space="preserve"> response capability, local knowledge and intelligence, and visible deterrence to extremists.</w:t>
      </w:r>
    </w:p>
    <w:p w14:paraId="5FD41225" w14:textId="2EB114A2" w:rsidR="00494A04" w:rsidRDefault="00494A04" w:rsidP="00523455">
      <w:pPr>
        <w:spacing w:line="360" w:lineRule="auto"/>
        <w:jc w:val="both"/>
      </w:pPr>
      <w:r>
        <w:tab/>
        <w:t xml:space="preserve">Dismantling </w:t>
      </w:r>
      <w:r w:rsidR="006226BC">
        <w:t xml:space="preserve">the </w:t>
      </w:r>
      <w:r>
        <w:t xml:space="preserve">root causes of issues is the third important sub-theme through which community policing in Karak manifests. The </w:t>
      </w:r>
      <w:r w:rsidR="006226BC">
        <w:t>interview</w:t>
      </w:r>
      <w:r>
        <w:t xml:space="preserve"> data show that the Karak community takes a long-term proactive approach to address the underlying causes of issues instead of relying on surface issues. </w:t>
      </w:r>
      <w:r w:rsidR="006226BC">
        <w:t>Extremists usually exploit the underlying causes of conflicts</w:t>
      </w:r>
      <w:r>
        <w:t xml:space="preserve"> to gain footholds in communities. The Karak community </w:t>
      </w:r>
      <w:r w:rsidR="006226BC">
        <w:t>works</w:t>
      </w:r>
      <w:r>
        <w:t xml:space="preserve"> to permanently settle disputes, even after court rulings, to prevent lingering animosities. An interviewee noted, </w:t>
      </w:r>
      <w:r w:rsidRPr="001C1D9B">
        <w:rPr>
          <w:i/>
          <w:iCs/>
        </w:rPr>
        <w:t xml:space="preserve">“… we are not letting him free without Jirga's decision. We called a Jirga on this matter. We have to decide his fate because the opposing party will kill him if we </w:t>
      </w:r>
      <w:r w:rsidR="006226BC">
        <w:rPr>
          <w:i/>
          <w:iCs/>
        </w:rPr>
        <w:t>do</w:t>
      </w:r>
      <w:r w:rsidRPr="001C1D9B">
        <w:rPr>
          <w:i/>
          <w:iCs/>
        </w:rPr>
        <w:t xml:space="preserve"> not permanently fix the issue.”</w:t>
      </w:r>
      <w:r>
        <w:t xml:space="preserve"> Likewise, the Karak community </w:t>
      </w:r>
      <w:r w:rsidR="006226BC">
        <w:t>provides social support to drug addicts and targets drug</w:t>
      </w:r>
      <w:r>
        <w:t xml:space="preserve"> suppliers to reduce drug addiction. An interview noted, </w:t>
      </w:r>
      <w:r w:rsidRPr="001C1D9B">
        <w:rPr>
          <w:i/>
          <w:iCs/>
        </w:rPr>
        <w:t xml:space="preserve">“We do have a group of educated </w:t>
      </w:r>
      <w:r w:rsidRPr="001C1D9B">
        <w:rPr>
          <w:i/>
          <w:iCs/>
        </w:rPr>
        <w:lastRenderedPageBreak/>
        <w:t>young people who help the drug addicts quit the drugs and come back to normal life. With these strategies, we reduced drug addiction by around 70%.”</w:t>
      </w:r>
      <w:r w:rsidR="00F13B36">
        <w:rPr>
          <w:rStyle w:val="FootnoteReference"/>
          <w:i/>
          <w:iCs/>
        </w:rPr>
        <w:footnoteReference w:id="38"/>
      </w:r>
    </w:p>
    <w:p w14:paraId="65C911BF" w14:textId="72197EB0" w:rsidR="00494A04" w:rsidRDefault="00494A04" w:rsidP="00523455">
      <w:pPr>
        <w:spacing w:line="360" w:lineRule="auto"/>
        <w:jc w:val="both"/>
      </w:pPr>
      <w:r>
        <w:tab/>
        <w:t xml:space="preserve">Moreover, the Karak community actively </w:t>
      </w:r>
      <w:r w:rsidR="006226BC">
        <w:t>monitors and regulates</w:t>
      </w:r>
      <w:r>
        <w:t xml:space="preserve"> problematic events that could contribute to social issues. A local leader noted, </w:t>
      </w:r>
      <w:r w:rsidRPr="001C1D9B">
        <w:rPr>
          <w:i/>
          <w:iCs/>
        </w:rPr>
        <w:t>“… if someone is involved in betting, we will fix this issue. We also try to stop the night music programs. Aerial firing is strictly forbidden…”</w:t>
      </w:r>
      <w:r w:rsidR="00F13B36">
        <w:rPr>
          <w:rStyle w:val="FootnoteReference"/>
          <w:i/>
          <w:iCs/>
        </w:rPr>
        <w:footnoteReference w:id="39"/>
      </w:r>
      <w:r>
        <w:t xml:space="preserve"> Finally, in case of recruitment, the Karak community engages the families to disown their children, and </w:t>
      </w:r>
      <w:r w:rsidR="006226BC">
        <w:t>engages</w:t>
      </w:r>
      <w:r>
        <w:t xml:space="preserve"> local Ulemas to counter extremist narratives. </w:t>
      </w:r>
    </w:p>
    <w:p w14:paraId="3DBC222F" w14:textId="23AC954C" w:rsidR="00494A04" w:rsidRDefault="00494A04" w:rsidP="00523455">
      <w:pPr>
        <w:spacing w:line="360" w:lineRule="auto"/>
        <w:jc w:val="both"/>
      </w:pPr>
      <w:r>
        <w:tab/>
        <w:t xml:space="preserve">The community policing tendencies in Karak </w:t>
      </w:r>
      <w:r w:rsidR="006226BC">
        <w:t>offer</w:t>
      </w:r>
      <w:r>
        <w:t xml:space="preserve"> several benefits in preventing violent extremism in Karak. To begin with, community policing is pivotal in </w:t>
      </w:r>
      <w:r w:rsidR="006226BC">
        <w:t xml:space="preserve">the </w:t>
      </w:r>
      <w:r>
        <w:t xml:space="preserve">early detection of threats. Second, it is consequential in enhancing police-community cooperation. Third, it enables the community to mobilize people in no time. Fourth, it </w:t>
      </w:r>
      <w:r w:rsidR="006226BC">
        <w:t>helps craft</w:t>
      </w:r>
      <w:r>
        <w:t xml:space="preserve"> culturally sensitive security strategies. Fifth, addressing root causes is necessary for long-term</w:t>
      </w:r>
      <w:r w:rsidR="006226BC">
        <w:t>,</w:t>
      </w:r>
      <w:r>
        <w:t xml:space="preserve"> sustainable peace. Sixth, it is vital </w:t>
      </w:r>
      <w:r w:rsidR="006226BC">
        <w:t>to disrupt extremist</w:t>
      </w:r>
      <w:r>
        <w:t xml:space="preserve"> recruitment and financing channels. Finally, community policing, due to all </w:t>
      </w:r>
      <w:r w:rsidR="006226BC">
        <w:t xml:space="preserve">the </w:t>
      </w:r>
      <w:r>
        <w:t xml:space="preserve">above-mentioned benefits, creates a visible deterrence for extremists. In a nutshell, </w:t>
      </w:r>
      <w:r w:rsidR="006226BC">
        <w:t>citizens'</w:t>
      </w:r>
      <w:r>
        <w:t xml:space="preserve"> engagement, addressing underlying problems, and decentralizing security responsibilities, Karak’s community creates an inhospitable environment for extremist tendencies.</w:t>
      </w:r>
    </w:p>
    <w:p w14:paraId="6205393C" w14:textId="399DECBB" w:rsidR="00D5282D" w:rsidRPr="001C1D9B" w:rsidRDefault="00D5282D" w:rsidP="00523455">
      <w:pPr>
        <w:pStyle w:val="ListParagraph"/>
        <w:numPr>
          <w:ilvl w:val="0"/>
          <w:numId w:val="1"/>
        </w:numPr>
        <w:spacing w:line="360" w:lineRule="auto"/>
        <w:jc w:val="both"/>
        <w:rPr>
          <w:b/>
          <w:bCs/>
        </w:rPr>
      </w:pPr>
      <w:r w:rsidRPr="001C1D9B">
        <w:rPr>
          <w:b/>
          <w:bCs/>
        </w:rPr>
        <w:t>Public-Government Integration</w:t>
      </w:r>
    </w:p>
    <w:p w14:paraId="7D718BBC" w14:textId="5BE3CD4C" w:rsidR="00D5282D" w:rsidRDefault="00D5282D" w:rsidP="00523455">
      <w:pPr>
        <w:spacing w:line="360" w:lineRule="auto"/>
        <w:jc w:val="both"/>
      </w:pPr>
      <w:r>
        <w:tab/>
        <w:t xml:space="preserve">Government </w:t>
      </w:r>
      <w:r w:rsidR="006226BC">
        <w:t>relations with the public are a determining factor in the materialization of its strategies</w:t>
      </w:r>
      <w:r>
        <w:t xml:space="preserve">. Scholars believe community trust </w:t>
      </w:r>
      <w:r w:rsidR="006226BC">
        <w:t>in</w:t>
      </w:r>
      <w:r>
        <w:t xml:space="preserve"> its institutions is a central pillar of resilience. They unanimously agreed that without a strong trust-based relationship between </w:t>
      </w:r>
      <w:r w:rsidR="006226BC">
        <w:t xml:space="preserve">the </w:t>
      </w:r>
      <w:r>
        <w:t>community and its institutions, communities cannot tackle challenges such as violent extremism.</w:t>
      </w:r>
      <w:r w:rsidR="00F13B36">
        <w:rPr>
          <w:rStyle w:val="FootnoteReference"/>
        </w:rPr>
        <w:footnoteReference w:id="40"/>
      </w:r>
      <w:r>
        <w:t xml:space="preserve"> Public-government integration manifests in Karak in three main ways: coordination with LEAs, lack of resistance to polio vaccination drives, and selective protests.</w:t>
      </w:r>
    </w:p>
    <w:p w14:paraId="080A9C71" w14:textId="708BD998" w:rsidR="00D5282D" w:rsidRDefault="00D5282D" w:rsidP="00523455">
      <w:pPr>
        <w:spacing w:line="360" w:lineRule="auto"/>
        <w:jc w:val="both"/>
      </w:pPr>
      <w:r>
        <w:tab/>
        <w:t xml:space="preserve">Coordination with the LEAs emerged as a dominant sub-theme in public-government integration in Karak. Robust communication between community members and LEAs is pivotal for preventing violent extremism. An interviewee noted, </w:t>
      </w:r>
      <w:r w:rsidRPr="001C1D9B">
        <w:rPr>
          <w:i/>
          <w:iCs/>
        </w:rPr>
        <w:t xml:space="preserve">“Before community members, the message (regarding suspicious activity) reaches the Police. Police do have their </w:t>
      </w:r>
      <w:r w:rsidRPr="001C1D9B">
        <w:rPr>
          <w:i/>
          <w:iCs/>
        </w:rPr>
        <w:lastRenderedPageBreak/>
        <w:t>informants on every village level who inform them.”</w:t>
      </w:r>
      <w:r w:rsidR="00B41280">
        <w:rPr>
          <w:rStyle w:val="FootnoteReference"/>
          <w:i/>
          <w:iCs/>
        </w:rPr>
        <w:footnoteReference w:id="41"/>
      </w:r>
      <w:r>
        <w:t xml:space="preserve"> Another interviewee noted, </w:t>
      </w:r>
      <w:r w:rsidRPr="001C1D9B">
        <w:rPr>
          <w:i/>
          <w:iCs/>
        </w:rPr>
        <w:t>“Yes. We do inform the police. Policemen are our people.”</w:t>
      </w:r>
      <w:r w:rsidR="00B41280">
        <w:rPr>
          <w:rStyle w:val="FootnoteReference"/>
          <w:i/>
          <w:iCs/>
        </w:rPr>
        <w:footnoteReference w:id="42"/>
      </w:r>
      <w:r>
        <w:t xml:space="preserve"> Police officers also expressed similar thoughts. A police officer stated, </w:t>
      </w:r>
      <w:r w:rsidRPr="001C1D9B">
        <w:rPr>
          <w:i/>
          <w:iCs/>
        </w:rPr>
        <w:t>“… we do most of our work on community reporting. Information comes from the community. We maintain informal channels within the community; they communicate whenever they notice suspicious activity.”</w:t>
      </w:r>
      <w:r w:rsidR="00B41280">
        <w:rPr>
          <w:rStyle w:val="FootnoteReference"/>
          <w:i/>
          <w:iCs/>
        </w:rPr>
        <w:footnoteReference w:id="43"/>
      </w:r>
      <w:r>
        <w:t xml:space="preserve"> Another police officer argued, </w:t>
      </w:r>
      <w:r w:rsidRPr="001C1D9B">
        <w:rPr>
          <w:i/>
          <w:iCs/>
        </w:rPr>
        <w:t>“… they readily inform the police whenever any activity is reported.”</w:t>
      </w:r>
      <w:r w:rsidR="00B41280">
        <w:rPr>
          <w:rStyle w:val="FootnoteReference"/>
          <w:i/>
          <w:iCs/>
        </w:rPr>
        <w:footnoteReference w:id="44"/>
      </w:r>
      <w:r>
        <w:t xml:space="preserve"> These interview excerpts depict a solid relationship, marked by smooth and timely coordination, between the Karak’s community members and LEAs. The trust-based relationship between the community members and LEAs facilitates sharing confidential information without fear of repercussions. </w:t>
      </w:r>
    </w:p>
    <w:p w14:paraId="1A205952" w14:textId="6A865291" w:rsidR="00D5282D" w:rsidRDefault="006226BC" w:rsidP="00523455">
      <w:pPr>
        <w:spacing w:line="360" w:lineRule="auto"/>
        <w:ind w:firstLine="720"/>
        <w:jc w:val="both"/>
      </w:pPr>
      <w:r>
        <w:t>Karak has no resistance to polio vaccination drives, unlike many other areas of Pakistan, particularly the KP region</w:t>
      </w:r>
      <w:r w:rsidR="00D5282D">
        <w:t xml:space="preserve">. The lack of resistance indicates public trust in government initiatives. An interviewee noted, </w:t>
      </w:r>
      <w:r w:rsidR="00D5282D" w:rsidRPr="001C1D9B">
        <w:rPr>
          <w:i/>
          <w:iCs/>
        </w:rPr>
        <w:t>“There is no resistance to polio in our community. There has been no case where police took someone away due to resistance to polio vaccines… We usually even give food to the polio workers and the police.”</w:t>
      </w:r>
      <w:r w:rsidR="000D1FB4">
        <w:rPr>
          <w:rStyle w:val="FootnoteReference"/>
          <w:i/>
          <w:iCs/>
        </w:rPr>
        <w:footnoteReference w:id="45"/>
      </w:r>
      <w:r w:rsidR="00D5282D">
        <w:t xml:space="preserve">  This response was almost unanimous across all the interviews. Many interviewees noted that Ulema and community leaders encourage people to cooperate with polio workers. Nonetheless, the community has used boycotting polio vaccination as a bargaining chip to secure their rights. An interviewee noted, </w:t>
      </w:r>
      <w:r w:rsidR="00D5282D" w:rsidRPr="001C1D9B">
        <w:rPr>
          <w:i/>
          <w:iCs/>
        </w:rPr>
        <w:t>“… Nevertheless, community members use it to demand their rights. For instance, a school boycotted the polio drive in our education department when it was understaffed.”</w:t>
      </w:r>
      <w:r w:rsidR="000D1FB4">
        <w:rPr>
          <w:rStyle w:val="FootnoteReference"/>
          <w:i/>
          <w:iCs/>
        </w:rPr>
        <w:footnoteReference w:id="46"/>
      </w:r>
      <w:r w:rsidR="00D5282D">
        <w:t xml:space="preserve"> Likewise, another interviewee added, </w:t>
      </w:r>
      <w:r w:rsidR="00D5282D" w:rsidRPr="001C1D9B">
        <w:rPr>
          <w:i/>
          <w:iCs/>
        </w:rPr>
        <w:t>“Whenever we have a big issue, we strongly boycott Polio vaccination drives…”</w:t>
      </w:r>
      <w:r w:rsidR="000D1FB4">
        <w:rPr>
          <w:rStyle w:val="FootnoteReference"/>
          <w:i/>
          <w:iCs/>
        </w:rPr>
        <w:footnoteReference w:id="47"/>
      </w:r>
      <w:r w:rsidR="00D5282D">
        <w:t xml:space="preserve"> The interviewee's response shows that individual resistance to polio vaccination does not exist in Karak, which depicts the community's trust in government initiatives. </w:t>
      </w:r>
    </w:p>
    <w:p w14:paraId="660F5017" w14:textId="735D93D2" w:rsidR="00D5282D" w:rsidRDefault="00D5282D" w:rsidP="00523455">
      <w:pPr>
        <w:spacing w:line="360" w:lineRule="auto"/>
        <w:ind w:firstLine="720"/>
        <w:jc w:val="both"/>
      </w:pPr>
      <w:r>
        <w:t xml:space="preserve">Selective protests emerged as a third dominant sub-theme of public-government integration. It was observed that the Karak community only engages in selective and constructive protests. Unlike many other areas, they take care of their actions and pursue their objectives through calculated strategies. The community members' protests are mostly </w:t>
      </w:r>
      <w:r>
        <w:lastRenderedPageBreak/>
        <w:t xml:space="preserve">effective. An interviewee noted, </w:t>
      </w:r>
      <w:r w:rsidRPr="001C1D9B">
        <w:rPr>
          <w:i/>
          <w:iCs/>
        </w:rPr>
        <w:t>“Recently, there was an incident when SHO Gurguri entered the home directly… This was a violation of our parda (veil) system. Against this, we encircle the whole police station. We aimed to expel the SHO from our area, and we did it overnight.”</w:t>
      </w:r>
      <w:r w:rsidR="000D1FB4">
        <w:rPr>
          <w:rStyle w:val="FootnoteReference"/>
          <w:i/>
          <w:iCs/>
        </w:rPr>
        <w:footnoteReference w:id="48"/>
      </w:r>
      <w:r>
        <w:t xml:space="preserve"> They usually compel the government to meet their demands. A district administration official acknowledged the community's firmness in protests: </w:t>
      </w:r>
      <w:r w:rsidRPr="001C1D9B">
        <w:rPr>
          <w:i/>
          <w:iCs/>
        </w:rPr>
        <w:t>“Sometimes, the Karak community opposes the government if our response is lethargic. They will oppose us and propel us to act proactively.”</w:t>
      </w:r>
      <w:r w:rsidR="000D1FB4">
        <w:rPr>
          <w:rStyle w:val="FootnoteReference"/>
          <w:i/>
          <w:iCs/>
        </w:rPr>
        <w:footnoteReference w:id="49"/>
      </w:r>
      <w:r>
        <w:t xml:space="preserve"> The interviewees' response depicts Karak’s community's ability to leverage its collective ability to pursue common social objectives. </w:t>
      </w:r>
    </w:p>
    <w:p w14:paraId="7480701F" w14:textId="6432DE39" w:rsidR="00D5282D" w:rsidRDefault="00D5282D" w:rsidP="00523455">
      <w:pPr>
        <w:spacing w:line="360" w:lineRule="auto"/>
        <w:ind w:firstLine="720"/>
        <w:jc w:val="both"/>
      </w:pPr>
      <w:r>
        <w:t xml:space="preserve">Despite the high efficiency of social protests, the Karak community members barely protest regarding sensitive issues related to national security. Few community members of Karak went missing, presumably on charges of alleged links to terrorist groups. Upon inquiring about whether the community stage protest for them, a local leader responds, </w:t>
      </w:r>
      <w:r w:rsidRPr="00F2563A">
        <w:rPr>
          <w:i/>
          <w:iCs/>
        </w:rPr>
        <w:t>“The government may have some information about them. They have the resources and capacity to know such things… We did not protest against this. Let the investigation proceed. If they are involved, they should be punished according to the law. I also told my community that I would not ask for someone's pardon if they committed a serious crime.”</w:t>
      </w:r>
      <w:r w:rsidR="000D1FB4">
        <w:rPr>
          <w:rStyle w:val="FootnoteReference"/>
          <w:i/>
          <w:iCs/>
        </w:rPr>
        <w:footnoteReference w:id="50"/>
      </w:r>
      <w:r>
        <w:t xml:space="preserve"> An academician added, </w:t>
      </w:r>
      <w:r w:rsidRPr="00F2563A">
        <w:rPr>
          <w:i/>
          <w:iCs/>
        </w:rPr>
        <w:t>“… Our main concern always remains local and regional despite and/or because of our national exposure. Due to national exposure, we understand that getting involved in such matters is not beneficial for us.”</w:t>
      </w:r>
      <w:r w:rsidR="000D1FB4">
        <w:rPr>
          <w:rStyle w:val="FootnoteReference"/>
          <w:i/>
          <w:iCs/>
        </w:rPr>
        <w:footnoteReference w:id="51"/>
      </w:r>
      <w:r>
        <w:t xml:space="preserve"> The interview excerpts show that the Karak community members do not engage in anti-state protests despite having a high collective efficiency. </w:t>
      </w:r>
    </w:p>
    <w:p w14:paraId="1B803965" w14:textId="540C9B6E" w:rsidR="00D5282D" w:rsidRDefault="00D5282D" w:rsidP="00523455">
      <w:pPr>
        <w:spacing w:line="360" w:lineRule="auto"/>
        <w:ind w:firstLine="720"/>
        <w:jc w:val="both"/>
      </w:pPr>
      <w:r>
        <w:t xml:space="preserve">Public-government integration significantly enhances Karak’s community resilience against VE in many ways. To begin with, public-government integration enables a community to create a unified stance against VE. Additionally, it ensures a smooth flow of information between the community members and LEAs, eventually enabling LEAs to take prompt action against radicalization in its early stages and prevent recruitment efforts accordingly. Moreover, Karak’s community's lack of resistance to polio vaccination drives indicates their preference of government initiatives over extremist propaganda. The collaborative efforts between community members and the government, as shown in the successful polio vaccination drives, can be leveraged in other areas, such as CVE. Finally, Karak’s community has an adequate way of expressing dissent. Karak does not engage in </w:t>
      </w:r>
      <w:r>
        <w:lastRenderedPageBreak/>
        <w:t>indiscriminate protests like many communities and differentiates between what to oppose and support. Their passive response regarding presumably missing persons shows their cooperation with LEAs on extremism-related matters, and this will enable LEAs to take all necessary measures to PVE.</w:t>
      </w:r>
      <w:r w:rsidR="00F2563A">
        <w:t xml:space="preserve"> </w:t>
      </w:r>
      <w:r>
        <w:t xml:space="preserve">Participatory consultations and DRMs emerged as Karak's third dominant pillar of community resilience that manifests in two primary ways: frequent intra- and inter-village meetings and inclusive committees, and effective DRMs. Together, these two aspects create an inconducive environment for VE in Karak. </w:t>
      </w:r>
    </w:p>
    <w:p w14:paraId="7926F738" w14:textId="6E1B8D33" w:rsidR="00F2563A" w:rsidRPr="001C1D9B" w:rsidRDefault="00F2563A" w:rsidP="00523455">
      <w:pPr>
        <w:pStyle w:val="ListParagraph"/>
        <w:numPr>
          <w:ilvl w:val="0"/>
          <w:numId w:val="1"/>
        </w:numPr>
        <w:spacing w:line="360" w:lineRule="auto"/>
        <w:jc w:val="both"/>
        <w:rPr>
          <w:b/>
          <w:bCs/>
        </w:rPr>
      </w:pPr>
      <w:r w:rsidRPr="001C1D9B">
        <w:rPr>
          <w:b/>
          <w:bCs/>
        </w:rPr>
        <w:t>Participatory Consultations and DRMs</w:t>
      </w:r>
    </w:p>
    <w:p w14:paraId="2126889F" w14:textId="20FE1E23" w:rsidR="00D5282D" w:rsidRDefault="00D5282D" w:rsidP="00523455">
      <w:pPr>
        <w:spacing w:line="360" w:lineRule="auto"/>
        <w:ind w:firstLine="720"/>
        <w:jc w:val="both"/>
      </w:pPr>
      <w:r>
        <w:t xml:space="preserve">Frequent intra- and inter-village meetings are common in Karak. An interviewee noted, </w:t>
      </w:r>
      <w:r w:rsidRPr="001C1D9B">
        <w:rPr>
          <w:i/>
          <w:iCs/>
        </w:rPr>
        <w:t>“We sit with our community members at least once a week, and we readily participate in community meetings whenever our elders call us.”</w:t>
      </w:r>
      <w:r w:rsidR="000D1FB4">
        <w:rPr>
          <w:rStyle w:val="FootnoteReference"/>
          <w:i/>
          <w:iCs/>
        </w:rPr>
        <w:footnoteReference w:id="52"/>
      </w:r>
      <w:r>
        <w:t xml:space="preserve"> Another interviewee stated, </w:t>
      </w:r>
      <w:r w:rsidRPr="001C1D9B">
        <w:rPr>
          <w:i/>
          <w:iCs/>
        </w:rPr>
        <w:t>“We do have Hujrah’s for community meetings, and I would say we meet daily.”</w:t>
      </w:r>
      <w:r w:rsidR="00AD1247">
        <w:rPr>
          <w:rStyle w:val="FootnoteReference"/>
          <w:i/>
          <w:iCs/>
        </w:rPr>
        <w:footnoteReference w:id="53"/>
      </w:r>
      <w:r>
        <w:t xml:space="preserve"> This response of frequent community meetings was almost unanimous everywhere in Karak. The frequency of community meetings in Karak was high. Nonetheless, in one area, the meetings were relatively less frequent. A local leader stated, </w:t>
      </w:r>
      <w:r w:rsidRPr="001C1D9B">
        <w:rPr>
          <w:i/>
          <w:iCs/>
        </w:rPr>
        <w:t>“We sit together whenever there is an issue and have our community meetings. There are no regular meetings whenever there is no issue…”</w:t>
      </w:r>
      <w:r w:rsidR="00AD1247">
        <w:rPr>
          <w:rStyle w:val="FootnoteReference"/>
          <w:i/>
          <w:iCs/>
        </w:rPr>
        <w:footnoteReference w:id="54"/>
      </w:r>
      <w:r w:rsidRPr="001C1D9B">
        <w:rPr>
          <w:i/>
          <w:iCs/>
        </w:rPr>
        <w:t xml:space="preserve"> </w:t>
      </w:r>
      <w:r>
        <w:t xml:space="preserve">This area was less resilient compared to other areas of Karak. Inclusivity is a significant feature of these meetings. These meetings were observed to be inclusive, comprising community elders, elected members, religious scholars, and so on. A local leader noted, </w:t>
      </w:r>
      <w:r w:rsidRPr="001C1D9B">
        <w:rPr>
          <w:i/>
          <w:iCs/>
        </w:rPr>
        <w:t>“Such meetings are inclusive and have members of all groups. We, the elected members, community elders, religious clerics, educated people, and so on, join these meetings…”</w:t>
      </w:r>
      <w:r w:rsidR="00AD1247">
        <w:rPr>
          <w:rStyle w:val="FootnoteReference"/>
          <w:i/>
          <w:iCs/>
        </w:rPr>
        <w:footnoteReference w:id="55"/>
      </w:r>
      <w:r>
        <w:t xml:space="preserve"> There are specified committees for organizing these meetings. These committees are also inclusive, as every Mohalla/village is given due representation. An interviewee noted, </w:t>
      </w:r>
      <w:r w:rsidRPr="001C1D9B">
        <w:rPr>
          <w:i/>
          <w:iCs/>
        </w:rPr>
        <w:t>“Two members of a committee represent every Mohalla. These two members are selected based on their capacity…”</w:t>
      </w:r>
      <w:r w:rsidR="00AD1247">
        <w:rPr>
          <w:rStyle w:val="FootnoteReference"/>
          <w:i/>
          <w:iCs/>
        </w:rPr>
        <w:footnoteReference w:id="56"/>
      </w:r>
      <w:r>
        <w:t xml:space="preserve"> Other interviewees also acknowledged the due representation of each Mohalla in the meetings. </w:t>
      </w:r>
    </w:p>
    <w:p w14:paraId="5E5406B0" w14:textId="183F8307" w:rsidR="00D5282D" w:rsidRDefault="00D5282D" w:rsidP="00523455">
      <w:pPr>
        <w:spacing w:line="360" w:lineRule="auto"/>
        <w:jc w:val="both"/>
      </w:pPr>
      <w:r>
        <w:tab/>
        <w:t xml:space="preserve">Effective DRMs emerged as one of Karak's dominant aspects of community resilience. It was noted that the dispute resolution mechanism in Karak is effective. An interviewee noted, </w:t>
      </w:r>
      <w:r w:rsidRPr="001C1D9B">
        <w:rPr>
          <w:i/>
          <w:iCs/>
        </w:rPr>
        <w:t xml:space="preserve">“The dispute resolution mechanism in our area is highly effective. There is </w:t>
      </w:r>
      <w:r w:rsidRPr="001C1D9B">
        <w:rPr>
          <w:i/>
          <w:iCs/>
        </w:rPr>
        <w:lastRenderedPageBreak/>
        <w:t>a long history of disputes in our area. However, with time, the disputes are reducing primarily because of effective dispute resolution mechanisms.”</w:t>
      </w:r>
      <w:r w:rsidR="00AD1247">
        <w:rPr>
          <w:rStyle w:val="FootnoteReference"/>
          <w:i/>
          <w:iCs/>
        </w:rPr>
        <w:footnoteReference w:id="57"/>
      </w:r>
      <w:r>
        <w:t xml:space="preserve"> Many other interviewees shared similar thoughts. One determining aspect of DRMs in Karak is the lack of monetary involvement in the dispute resolution process. Most interviewees argue that the money element is not involved in Karak’s DRMs. A local leader noted, </w:t>
      </w:r>
      <w:r w:rsidRPr="001C1D9B">
        <w:rPr>
          <w:i/>
          <w:iCs/>
        </w:rPr>
        <w:t>“The committee members never charge anyone for decisions. We used to eat food and have tea at home before going to Jirga. The money element was not involved in a committee.</w:t>
      </w:r>
      <w:r w:rsidR="00AD1247">
        <w:rPr>
          <w:i/>
          <w:iCs/>
        </w:rPr>
        <w:t>”</w:t>
      </w:r>
      <w:r w:rsidR="00AD1247">
        <w:rPr>
          <w:rStyle w:val="FootnoteReference"/>
          <w:i/>
          <w:iCs/>
        </w:rPr>
        <w:footnoteReference w:id="58"/>
      </w:r>
      <w:r>
        <w:t xml:space="preserve"> Another community leader added, </w:t>
      </w:r>
      <w:r w:rsidRPr="001C1D9B">
        <w:rPr>
          <w:i/>
          <w:iCs/>
        </w:rPr>
        <w:t>“… some suggest taking the money and saving it for community purposes. I said, No. We cannot make community funds this way. This will set a bad precedent for future dispute resolutions. I want to keep the mediation process free from financial elements. The money is theirs, and they should keep it.”</w:t>
      </w:r>
      <w:r w:rsidR="00AD1247">
        <w:rPr>
          <w:rStyle w:val="FootnoteReference"/>
          <w:i/>
          <w:iCs/>
        </w:rPr>
        <w:footnoteReference w:id="59"/>
      </w:r>
      <w:r>
        <w:t xml:space="preserve">  </w:t>
      </w:r>
    </w:p>
    <w:p w14:paraId="5891805A" w14:textId="386EFA2A" w:rsidR="00D5282D" w:rsidRDefault="00D5282D" w:rsidP="00523455">
      <w:pPr>
        <w:spacing w:line="360" w:lineRule="auto"/>
        <w:jc w:val="both"/>
      </w:pPr>
      <w:r>
        <w:tab/>
        <w:t xml:space="preserve">The money element was rare in Karak’s DRMs. Nevertheless, few educationists disagree and argue that the DRM's effectiveness is deteriorating due to the increasing involvement of money in the process. An educationist stated, </w:t>
      </w:r>
      <w:r w:rsidRPr="001C1D9B">
        <w:rPr>
          <w:i/>
          <w:iCs/>
        </w:rPr>
        <w:t>“Today, there is a growing element of money involvement in these cases. The arbitrator is getting increasingly involved in money-making through community decisions.”</w:t>
      </w:r>
      <w:r w:rsidR="00AD1247">
        <w:rPr>
          <w:rStyle w:val="FootnoteReference"/>
          <w:i/>
          <w:iCs/>
        </w:rPr>
        <w:footnoteReference w:id="60"/>
      </w:r>
      <w:r>
        <w:t xml:space="preserve"> A local police officer adds a distinct perspective and argues, </w:t>
      </w:r>
      <w:r w:rsidRPr="001C1D9B">
        <w:rPr>
          <w:i/>
          <w:iCs/>
        </w:rPr>
        <w:t>“Community leader integrity is consequential in the effectiveness of dispute resolutions. Community leaders across many areas of Karak have an essential integrity, which makes the DRMs effective.”</w:t>
      </w:r>
      <w:r w:rsidR="00AD1247">
        <w:rPr>
          <w:rStyle w:val="FootnoteReference"/>
          <w:i/>
          <w:iCs/>
        </w:rPr>
        <w:footnoteReference w:id="61"/>
      </w:r>
      <w:r>
        <w:t xml:space="preserve"> A senior district administration official offers another unique perspective: </w:t>
      </w:r>
      <w:r w:rsidRPr="001C1D9B">
        <w:rPr>
          <w:i/>
          <w:iCs/>
        </w:rPr>
        <w:t>“Differences, disputes, and conflicts are all present in Karak. There are all kinds of disputes, including political, community, and so on. However, the distinguishing feature is that the Karak community knows how to pursue their cases. They are more educated and aware.”</w:t>
      </w:r>
      <w:r w:rsidR="00AD1247">
        <w:rPr>
          <w:rStyle w:val="FootnoteReference"/>
          <w:i/>
          <w:iCs/>
        </w:rPr>
        <w:footnoteReference w:id="62"/>
      </w:r>
      <w:r>
        <w:t xml:space="preserve"> In conclusion, it can be argued that the DRMs in Karak are effective but have minor challenges. </w:t>
      </w:r>
    </w:p>
    <w:p w14:paraId="309AC1E7" w14:textId="60F5E48B" w:rsidR="00C82746" w:rsidRDefault="00D5282D" w:rsidP="00523455">
      <w:pPr>
        <w:spacing w:line="360" w:lineRule="auto"/>
        <w:jc w:val="both"/>
      </w:pPr>
      <w:r>
        <w:tab/>
        <w:t xml:space="preserve">Participatory consultations and effective DRMs significantly enhance Karak’s community resilience in PVE. To begin with, frequent meetings establish an early warning system as meetings allow community members to share information about any suspicious activity, and they also enhance social cohesion in a community. The inclusivity, incorporating all segments of society, ensures different perspectives on the one hand and strengthens social </w:t>
      </w:r>
      <w:r>
        <w:lastRenderedPageBreak/>
        <w:t xml:space="preserve">integration on the other. It also eliminates all aspects of marginalization and leaves no room for extremists to exploit anything. The effective dispute resolution mechanism in Karak leaves no space for extremists, as most of the community problems are resolved within the community. Additionally, the money element in mediation or arbitration efforts in the Karak community is negligible, which makes it accessible to everyone. Furthermore, the effective dispute resolution mechanism promotes community ownership of their problems, a vital pillar of community resilience. Finally, by managing and solving local disputes, the Karak’s community strives to eliminate violence, thus exterminating a breeding ground for VE. </w:t>
      </w:r>
      <w:r w:rsidR="00C82746">
        <w:tab/>
      </w:r>
    </w:p>
    <w:p w14:paraId="14F26A70" w14:textId="0B3092D5" w:rsidR="00494A04" w:rsidRPr="001C1D9B" w:rsidRDefault="00494A04" w:rsidP="00523455">
      <w:pPr>
        <w:pStyle w:val="ListParagraph"/>
        <w:numPr>
          <w:ilvl w:val="0"/>
          <w:numId w:val="1"/>
        </w:numPr>
        <w:spacing w:line="360" w:lineRule="auto"/>
        <w:jc w:val="both"/>
        <w:rPr>
          <w:b/>
          <w:bCs/>
        </w:rPr>
      </w:pPr>
      <w:r w:rsidRPr="001C1D9B">
        <w:rPr>
          <w:b/>
          <w:bCs/>
        </w:rPr>
        <w:t>Social Unity</w:t>
      </w:r>
    </w:p>
    <w:p w14:paraId="2A255E64" w14:textId="77777777" w:rsidR="00494A04" w:rsidRDefault="00494A04" w:rsidP="00523455">
      <w:pPr>
        <w:spacing w:line="360" w:lineRule="auto"/>
        <w:ind w:firstLine="567"/>
        <w:jc w:val="both"/>
      </w:pPr>
      <w:r>
        <w:t xml:space="preserve">Social unity emerged as a fourth dominant theme of community resilience in Karak. Social unity in Karak primarily manifests in volunteerism tendencies, collective efficacy, and social disdain towards criminals. These three interrelated dynamics of social unity play a pivotal role in PVE in Karak by enabling the community to pose a unified front against VE. </w:t>
      </w:r>
    </w:p>
    <w:p w14:paraId="76A2DCB2" w14:textId="1CBF20CC" w:rsidR="00494A04" w:rsidRDefault="00494A04" w:rsidP="00523455">
      <w:pPr>
        <w:spacing w:line="360" w:lineRule="auto"/>
        <w:ind w:firstLine="567"/>
        <w:jc w:val="both"/>
      </w:pPr>
      <w:r>
        <w:t>Existing scholarship shows that volunteerism tendencies are a common feature of resilient communities.</w:t>
      </w:r>
      <w:r w:rsidR="003164F8">
        <w:rPr>
          <w:rStyle w:val="FootnoteReference"/>
        </w:rPr>
        <w:footnoteReference w:id="63"/>
      </w:r>
      <w:r>
        <w:t xml:space="preserve"> It was noted that volunteerism tendencies in Karak were high. Most of the community members willingly offer their services for community endeavors. There was a proposed border security force to secure the community from extremist infiltration into Karak. The force was supposed to be primarily comprised of volunteers. The interviewers asked whether the youths would volunteer for this endeavor, and a local leader responded, </w:t>
      </w:r>
      <w:r w:rsidRPr="00917689">
        <w:rPr>
          <w:i/>
          <w:iCs/>
        </w:rPr>
        <w:t>“Yes. They have already expressed their will. The volunteers are passionate about serving their community.”</w:t>
      </w:r>
      <w:r w:rsidR="003164F8">
        <w:rPr>
          <w:rStyle w:val="FootnoteReference"/>
          <w:i/>
          <w:iCs/>
        </w:rPr>
        <w:footnoteReference w:id="64"/>
      </w:r>
      <w:r w:rsidRPr="00917689">
        <w:t xml:space="preserve"> </w:t>
      </w:r>
      <w:r>
        <w:t xml:space="preserve">Another local leader, while discussing their social services, becomes emotional and argues: </w:t>
      </w:r>
      <w:r w:rsidRPr="00917689">
        <w:rPr>
          <w:i/>
          <w:iCs/>
        </w:rPr>
        <w:t>“… for our children, women, and community security, we always secure this community. I know one can get killed in the process. But I am not afraid.”</w:t>
      </w:r>
      <w:r w:rsidR="003164F8">
        <w:rPr>
          <w:rStyle w:val="FootnoteReference"/>
          <w:i/>
          <w:iCs/>
        </w:rPr>
        <w:footnoteReference w:id="65"/>
      </w:r>
      <w:r w:rsidRPr="00917689">
        <w:t xml:space="preserve"> </w:t>
      </w:r>
      <w:r>
        <w:t xml:space="preserve">Other interviewees highlight different aspects of volunteerism tendencies. One interviewee argued, </w:t>
      </w:r>
      <w:r w:rsidRPr="00917689">
        <w:rPr>
          <w:i/>
          <w:iCs/>
        </w:rPr>
        <w:t>“Most of our young community members are overseas for jobs. They help their community by donating significant money to the welfare trust… We spent an amount in Crores in our area due to overseas contributions.”</w:t>
      </w:r>
      <w:r w:rsidR="003164F8">
        <w:rPr>
          <w:rStyle w:val="FootnoteReference"/>
          <w:i/>
          <w:iCs/>
        </w:rPr>
        <w:footnoteReference w:id="66"/>
      </w:r>
      <w:r>
        <w:t xml:space="preserve"> Another interviewee mentioned a different aspect as he stated, </w:t>
      </w:r>
      <w:r w:rsidRPr="00917689">
        <w:rPr>
          <w:i/>
          <w:iCs/>
        </w:rPr>
        <w:t xml:space="preserve">“Recently, we started an arrangement named Kaar-e-Khair. Through this </w:t>
      </w:r>
      <w:r w:rsidRPr="00917689">
        <w:rPr>
          <w:i/>
          <w:iCs/>
        </w:rPr>
        <w:lastRenderedPageBreak/>
        <w:t>arrangement, we collected 500 Rs from the government employees in our area. We planned to take on the funeral responsibilities of our community members.”</w:t>
      </w:r>
      <w:r w:rsidR="003164F8">
        <w:rPr>
          <w:rStyle w:val="FootnoteReference"/>
          <w:i/>
          <w:iCs/>
        </w:rPr>
        <w:footnoteReference w:id="67"/>
      </w:r>
      <w:r>
        <w:rPr>
          <w:i/>
          <w:iCs/>
        </w:rPr>
        <w:t xml:space="preserve"> </w:t>
      </w:r>
      <w:r>
        <w:t>Such social organizations and robust volunteerism tendencies are prevalent in almost all parts of Karak.</w:t>
      </w:r>
    </w:p>
    <w:p w14:paraId="60F9859C" w14:textId="2C7C794E" w:rsidR="00494A04" w:rsidRDefault="00494A04" w:rsidP="00523455">
      <w:pPr>
        <w:spacing w:line="360" w:lineRule="auto"/>
        <w:ind w:firstLine="567"/>
        <w:jc w:val="both"/>
        <w:rPr>
          <w:i/>
          <w:iCs/>
        </w:rPr>
      </w:pPr>
      <w:r>
        <w:t xml:space="preserve">The volunteerism tendencies and social organizations in Karak significantly enhance the collective efficacy of Karak’s community. An interviewee noted, </w:t>
      </w:r>
      <w:r w:rsidRPr="00F4384B">
        <w:rPr>
          <w:i/>
          <w:iCs/>
        </w:rPr>
        <w:t>“Our area has a high collective action frequency. We support each other in need, and our community members are engaged in welfare services. Our collective efficiency is high. We are united against common evils and believe we can achieve things together.”</w:t>
      </w:r>
      <w:r w:rsidR="003164F8">
        <w:rPr>
          <w:rStyle w:val="FootnoteReference"/>
          <w:i/>
          <w:iCs/>
        </w:rPr>
        <w:footnoteReference w:id="68"/>
      </w:r>
      <w:r w:rsidRPr="00F4384B">
        <w:t xml:space="preserve"> </w:t>
      </w:r>
      <w:r>
        <w:t xml:space="preserve">Another interviewee claimed, </w:t>
      </w:r>
      <w:r w:rsidRPr="00F4384B">
        <w:rPr>
          <w:i/>
          <w:iCs/>
        </w:rPr>
        <w:t>“Our community is so active against VE that we firmly believe we can collectively achieve our objectives. We are immune to VE due to our collective efforts. They tried several times to establish themselves here on our side. Still, they failed.”</w:t>
      </w:r>
      <w:r w:rsidR="003164F8">
        <w:rPr>
          <w:rStyle w:val="FootnoteReference"/>
          <w:i/>
          <w:iCs/>
        </w:rPr>
        <w:footnoteReference w:id="69"/>
      </w:r>
      <w:r w:rsidRPr="00F4384B">
        <w:t xml:space="preserve"> </w:t>
      </w:r>
      <w:r>
        <w:t xml:space="preserve">The collective efficacy is better in many parts of the Karak, with limited exceptions in one area. A local leader noted, </w:t>
      </w:r>
      <w:r w:rsidRPr="00F4384B">
        <w:rPr>
          <w:i/>
          <w:iCs/>
        </w:rPr>
        <w:t>“We are unsure whether our actions will yield desired objectives…”</w:t>
      </w:r>
      <w:r w:rsidR="002B792B">
        <w:rPr>
          <w:rStyle w:val="FootnoteReference"/>
          <w:i/>
          <w:iCs/>
        </w:rPr>
        <w:footnoteReference w:id="70"/>
      </w:r>
    </w:p>
    <w:p w14:paraId="5F878FB5" w14:textId="7D5B2F14" w:rsidR="00494A04" w:rsidRDefault="00494A04" w:rsidP="00523455">
      <w:pPr>
        <w:spacing w:line="360" w:lineRule="auto"/>
        <w:ind w:firstLine="567"/>
        <w:jc w:val="both"/>
      </w:pPr>
      <w:r>
        <w:t xml:space="preserve">Another dominant idea within social unity is Karak’s community's collective disdain towards criminals. Within the Karak community, there is a strong disdain towards criminals, which is a deterrent against crimes, including VE. An educationist noted, </w:t>
      </w:r>
      <w:r w:rsidRPr="00E24788">
        <w:rPr>
          <w:i/>
          <w:iCs/>
        </w:rPr>
        <w:t>“Revenge and social disdain are extremely strong in Karak. A family is living near our village. One of them killed a person. It was back in 1998. To date, people have dealt with them carefully.”</w:t>
      </w:r>
      <w:r w:rsidR="002B792B">
        <w:rPr>
          <w:rStyle w:val="FootnoteReference"/>
          <w:i/>
          <w:iCs/>
        </w:rPr>
        <w:footnoteReference w:id="71"/>
      </w:r>
      <w:r>
        <w:t xml:space="preserve"> A local leader added, </w:t>
      </w:r>
      <w:r w:rsidRPr="00E24788">
        <w:rPr>
          <w:i/>
          <w:iCs/>
        </w:rPr>
        <w:t>“Even a person's relatives do not stand with them when they commit injustice or oppression. There are many such incidents where one or the other party commits oppression, and their relatives abandon them.”</w:t>
      </w:r>
      <w:r w:rsidR="002B792B">
        <w:rPr>
          <w:rStyle w:val="FootnoteReference"/>
          <w:i/>
          <w:iCs/>
        </w:rPr>
        <w:footnoteReference w:id="72"/>
      </w:r>
      <w:r>
        <w:t xml:space="preserve"> A police officer supports this assertion by adding, </w:t>
      </w:r>
      <w:r w:rsidRPr="00E24788">
        <w:rPr>
          <w:i/>
          <w:iCs/>
        </w:rPr>
        <w:t>“Criminals in Karak are different from other typical criminals. Unlike typical criminals, Karak criminals cannot even think about firing at police unless they come face to face…”</w:t>
      </w:r>
      <w:r w:rsidR="002B792B">
        <w:rPr>
          <w:rStyle w:val="FootnoteReference"/>
          <w:i/>
          <w:iCs/>
        </w:rPr>
        <w:footnoteReference w:id="73"/>
      </w:r>
      <w:r>
        <w:rPr>
          <w:i/>
          <w:iCs/>
        </w:rPr>
        <w:t xml:space="preserve"> </w:t>
      </w:r>
      <w:r>
        <w:t xml:space="preserve">Another police officer added, </w:t>
      </w:r>
      <w:r w:rsidRPr="00E24788">
        <w:rPr>
          <w:i/>
          <w:iCs/>
        </w:rPr>
        <w:t xml:space="preserve">“… The community living here, the Khattaks, naturally </w:t>
      </w:r>
      <w:r>
        <w:rPr>
          <w:i/>
          <w:iCs/>
        </w:rPr>
        <w:t>dislikes crimes and</w:t>
      </w:r>
      <w:r w:rsidRPr="00E24788">
        <w:rPr>
          <w:i/>
          <w:iCs/>
        </w:rPr>
        <w:t xml:space="preserve"> criminals. They have this repulsion tendency towards criminals.”</w:t>
      </w:r>
      <w:r w:rsidR="002B792B">
        <w:rPr>
          <w:rStyle w:val="FootnoteReference"/>
          <w:i/>
          <w:iCs/>
        </w:rPr>
        <w:footnoteReference w:id="74"/>
      </w:r>
      <w:r>
        <w:rPr>
          <w:i/>
          <w:iCs/>
        </w:rPr>
        <w:t xml:space="preserve"> </w:t>
      </w:r>
      <w:r>
        <w:t>The interviewees responses vividly depict that Karak’s community members naturally hate crimes.</w:t>
      </w:r>
    </w:p>
    <w:p w14:paraId="6EA0EB04" w14:textId="23F23506" w:rsidR="00494A04" w:rsidRDefault="00494A04" w:rsidP="00523455">
      <w:pPr>
        <w:spacing w:line="360" w:lineRule="auto"/>
        <w:ind w:firstLine="567"/>
        <w:jc w:val="both"/>
        <w:rPr>
          <w:i/>
          <w:iCs/>
        </w:rPr>
      </w:pPr>
      <w:r>
        <w:lastRenderedPageBreak/>
        <w:t xml:space="preserve">Another significant aspect of Karak’s social unity manifests in its Unity amidst Disunity. Like other communities, Karak’s community has many internal differences. Nevertheless, they are united against a common challenge. An educationist stated, </w:t>
      </w:r>
      <w:r w:rsidRPr="00683EC8">
        <w:rPr>
          <w:i/>
          <w:iCs/>
        </w:rPr>
        <w:t>“Karak people are disunited within Karak. They are not interdependent. They are divided. However, they are highly united in two cases: first, when they are somewhere outside, and second, against an external community/threat.”</w:t>
      </w:r>
      <w:r w:rsidR="002B792B">
        <w:rPr>
          <w:rStyle w:val="FootnoteReference"/>
          <w:i/>
          <w:iCs/>
        </w:rPr>
        <w:footnoteReference w:id="75"/>
      </w:r>
      <w:r>
        <w:rPr>
          <w:i/>
          <w:iCs/>
        </w:rPr>
        <w:t xml:space="preserve"> </w:t>
      </w:r>
      <w:r>
        <w:t xml:space="preserve">The presence of the Cheegha party in Karak exemplifies Karak’s community unity against common threats. A local leader noted, </w:t>
      </w:r>
      <w:r w:rsidRPr="00683EC8">
        <w:rPr>
          <w:i/>
          <w:iCs/>
        </w:rPr>
        <w:t>“Latamber is known for the Cheegha Party. It was hard for criminals to leave Latamber after committing a crime. The community used to surround and capture them.”</w:t>
      </w:r>
      <w:r w:rsidR="002B792B">
        <w:rPr>
          <w:rStyle w:val="FootnoteReference"/>
          <w:i/>
          <w:iCs/>
        </w:rPr>
        <w:footnoteReference w:id="76"/>
      </w:r>
      <w:r>
        <w:rPr>
          <w:i/>
          <w:iCs/>
        </w:rPr>
        <w:t xml:space="preserve"> </w:t>
      </w:r>
      <w:r>
        <w:t xml:space="preserve">Subsequent interviews show that the </w:t>
      </w:r>
      <w:r w:rsidRPr="0024290C">
        <w:rPr>
          <w:i/>
          <w:iCs/>
        </w:rPr>
        <w:t>Cheegha</w:t>
      </w:r>
      <w:r>
        <w:t xml:space="preserve"> party is highly active against common challenges. A police officer acknowledged the presence of the </w:t>
      </w:r>
      <w:r w:rsidRPr="0024290C">
        <w:rPr>
          <w:i/>
          <w:iCs/>
        </w:rPr>
        <w:t>Cheegha</w:t>
      </w:r>
      <w:r>
        <w:t xml:space="preserve"> party, </w:t>
      </w:r>
      <w:r w:rsidRPr="0024290C">
        <w:rPr>
          <w:i/>
          <w:iCs/>
        </w:rPr>
        <w:t>“There is a Cheegha party in every community. The police approach the community leader, who then spreads the call for help throughout the community. The communication level of the Karak community is substantial. They always respond to our call. Notably, whenever there is Cheegha, everyone comes to our assistance irrespective of their differences. The community is always united against a common threat, regardless of their differences.”</w:t>
      </w:r>
      <w:r w:rsidR="002B792B">
        <w:rPr>
          <w:rStyle w:val="FootnoteReference"/>
          <w:i/>
          <w:iCs/>
        </w:rPr>
        <w:footnoteReference w:id="77"/>
      </w:r>
    </w:p>
    <w:p w14:paraId="6FC95CB2" w14:textId="77777777" w:rsidR="005E798B" w:rsidRDefault="00494A04" w:rsidP="00523455">
      <w:pPr>
        <w:spacing w:line="360" w:lineRule="auto"/>
        <w:jc w:val="both"/>
      </w:pPr>
      <w:r>
        <w:tab/>
      </w:r>
      <w:r w:rsidRPr="0024290C">
        <w:t xml:space="preserve">Volunteerism creates a strong social fabric within a community, which is a barrier to extremist ideologies. Community members develop shared norms and identities when they work together for common goals. A shared identity minimizes extremist insertion through identity manipulation. </w:t>
      </w:r>
      <w:r w:rsidRPr="00D46233">
        <w:t>Additionally, collective efficacy gives the community confidence in fixing its issues. In a process, they barely rely on external actors. Additionally, the social organizations in many areas of Karak support the community members financially, engage the community youths, and strive to fix minor issues in their community.</w:t>
      </w:r>
      <w:r>
        <w:t xml:space="preserve"> </w:t>
      </w:r>
      <w:r w:rsidRPr="00D46233">
        <w:t>Likewise, robust social connections are cultivated through volunteer networks. These extensive networks within a community will likely prove vital in consoling vulnerable individuals and bringing back at-risk individuals from radicalization. The social disdain creates a high cost for engaging in violent extremism. The repulsion tendencies deprive extremists of safe havens within a community. Without local support, extremists cannot survive in any community.</w:t>
      </w:r>
      <w:r>
        <w:t xml:space="preserve"> Finally, e</w:t>
      </w:r>
      <w:r w:rsidRPr="00D46233">
        <w:t xml:space="preserve">xtremists usually exploit internal divisions to </w:t>
      </w:r>
      <w:r>
        <w:t>enter</w:t>
      </w:r>
      <w:r w:rsidRPr="00D46233">
        <w:t xml:space="preserve"> a</w:t>
      </w:r>
      <w:r>
        <w:t xml:space="preserve"> </w:t>
      </w:r>
      <w:r w:rsidRPr="00D46233">
        <w:t xml:space="preserve">community. Karak’s community deprives extremists of their potential resource, the local division. </w:t>
      </w:r>
    </w:p>
    <w:p w14:paraId="4E3E7EF7" w14:textId="11F9DDD4" w:rsidR="005367EE" w:rsidRPr="002B792B" w:rsidRDefault="005367EE" w:rsidP="00523455">
      <w:pPr>
        <w:spacing w:line="360" w:lineRule="auto"/>
        <w:jc w:val="both"/>
        <w:rPr>
          <w:b/>
          <w:bCs/>
        </w:rPr>
      </w:pPr>
      <w:r w:rsidRPr="002B792B">
        <w:rPr>
          <w:b/>
          <w:bCs/>
        </w:rPr>
        <w:lastRenderedPageBreak/>
        <w:t>Conceptual Framework for PVE</w:t>
      </w:r>
    </w:p>
    <w:p w14:paraId="536221B6" w14:textId="65E52EE5" w:rsidR="005367EE" w:rsidRPr="005367EE" w:rsidRDefault="005367EE" w:rsidP="00523455">
      <w:pPr>
        <w:spacing w:line="360" w:lineRule="auto"/>
        <w:ind w:firstLine="720"/>
        <w:jc w:val="both"/>
        <w:rPr>
          <w:rFonts w:eastAsia="Calibri" w:cs="Times New Roman"/>
        </w:rPr>
      </w:pPr>
      <w:r w:rsidRPr="005367EE">
        <w:rPr>
          <w:rFonts w:eastAsia="Calibri" w:cs="Times New Roman"/>
        </w:rPr>
        <w:t xml:space="preserve">Why are some areas more peaceful than others? This question is seldom asked in academia and policy circles across the globe, particularly in Pakistan. A bunch of literature is focused on evaluating why there is a surge in violent extremism in many regions. After all, the antecedents of embracing violent extremism, such as poverty, illiteracy, animosities, madrassas, etc, are present in many areas. However, only a few places have become hotspots for violent extremism. Many more regions remain peaceful despite the presence of the enabling factors. District Karak is a classic example of being peaceful despite being in one of the most violent regions, the southern KP. This study posits that people do not turn to violent extremism simply because of the enabling factors. Instead, communities can resist and prevent violent extremism through their community dynamics. No state can eliminate the enabling factors. However, states can facilitate community dynamics, vital to preventing violent extremism. </w:t>
      </w:r>
    </w:p>
    <w:p w14:paraId="667BA02E" w14:textId="56012CA0" w:rsidR="005367EE" w:rsidRDefault="005367EE" w:rsidP="00523455">
      <w:pPr>
        <w:spacing w:line="360" w:lineRule="auto"/>
        <w:jc w:val="both"/>
        <w:rPr>
          <w:rFonts w:eastAsia="Calibri" w:cs="Times New Roman"/>
        </w:rPr>
      </w:pPr>
      <w:r w:rsidRPr="005367EE">
        <w:rPr>
          <w:rFonts w:eastAsia="Calibri" w:cs="Times New Roman"/>
        </w:rPr>
        <w:tab/>
      </w:r>
      <w:r>
        <w:rPr>
          <w:rFonts w:eastAsia="Calibri" w:cs="Times New Roman"/>
        </w:rPr>
        <w:t xml:space="preserve">Karak’s experience suggests that its community </w:t>
      </w:r>
      <w:r w:rsidR="008D6189">
        <w:rPr>
          <w:rFonts w:eastAsia="Calibri" w:cs="Times New Roman"/>
        </w:rPr>
        <w:t>resists</w:t>
      </w:r>
      <w:r>
        <w:rPr>
          <w:rFonts w:eastAsia="Calibri" w:cs="Times New Roman"/>
        </w:rPr>
        <w:t xml:space="preserve"> VE through four interconnected pillars: community policing, public-government integration, participatory consultations and DRMs, and social unity. These four interconnected aspects of community resilience in Karak create a strong social fabric inhospitable to extremist tendencies.</w:t>
      </w:r>
      <w:r w:rsidR="00EE77C9">
        <w:rPr>
          <w:rFonts w:eastAsia="Calibri" w:cs="Times New Roman"/>
        </w:rPr>
        <w:t xml:space="preserve"> Karak’s community dynamics exhibit that VE can be prevented through community efforts despite the presence of its enabling factors. Indubitably, Karak’s experience will likely be unique to its community due to its unique social and cultural dynamics. However, Karak’s experience can be adapted in other communities to prevent VE. Accordingly, Karak’s experience may prove vital in PVE in Pakistan.</w:t>
      </w:r>
    </w:p>
    <w:p w14:paraId="6E2D6E14" w14:textId="5E940A91" w:rsidR="005E798B" w:rsidRPr="002B792B" w:rsidRDefault="00744457" w:rsidP="00523455">
      <w:pPr>
        <w:spacing w:line="360" w:lineRule="auto"/>
        <w:jc w:val="both"/>
        <w:rPr>
          <w:rFonts w:eastAsia="Calibri" w:cs="Times New Roman"/>
          <w:b/>
          <w:bCs/>
        </w:rPr>
      </w:pPr>
      <w:r w:rsidRPr="002B792B">
        <w:rPr>
          <w:rFonts w:eastAsia="Calibri" w:cs="Times New Roman"/>
          <w:b/>
          <w:bCs/>
        </w:rPr>
        <w:t>Conclusion</w:t>
      </w:r>
    </w:p>
    <w:p w14:paraId="1A852B51" w14:textId="4A2AAB79" w:rsidR="00744457" w:rsidRDefault="002B792B" w:rsidP="00523455">
      <w:pPr>
        <w:spacing w:line="360" w:lineRule="auto"/>
        <w:jc w:val="both"/>
        <w:rPr>
          <w:rFonts w:eastAsia="Calibri" w:cs="Times New Roman"/>
        </w:rPr>
      </w:pPr>
      <w:r>
        <w:rPr>
          <w:rFonts w:eastAsia="Calibri" w:cs="Times New Roman"/>
        </w:rPr>
        <w:tab/>
        <w:t xml:space="preserve">PVE in Pakistan is not solely the responsibility of LEAs. Communities are equally tasked with playing their role in PVE. This study explores the community dynamics of Karak and their role in PVE. Based on fieldwork in Karak, the study identifies four central pillars contributing to Karak’s resilience against VE: community policing, public-government integration, participatory consultations and DRMs, and social unity. The discussion highlights that these interconnected dynamics foster a challenging environment in Karak, ultimately ensuring its peace. Unlike many other studies, this research provides a novel perspective by examining the dynamics of a peaceful area. Accordingly, the study offers a conceptual framework to leverage community dynamics to counter VE. </w:t>
      </w:r>
    </w:p>
    <w:p w14:paraId="3A40BD20" w14:textId="7425B8B9" w:rsidR="000600EC" w:rsidRPr="005367EE" w:rsidRDefault="002B792B" w:rsidP="00523455">
      <w:pPr>
        <w:spacing w:line="360" w:lineRule="auto"/>
        <w:jc w:val="both"/>
        <w:rPr>
          <w:rFonts w:eastAsia="Calibri" w:cs="Times New Roman"/>
        </w:rPr>
      </w:pPr>
      <w:r>
        <w:rPr>
          <w:rFonts w:eastAsia="Calibri" w:cs="Times New Roman"/>
        </w:rPr>
        <w:lastRenderedPageBreak/>
        <w:tab/>
        <w:t xml:space="preserve">The research is a valuable addition to terrorism studies as it highlights the significance of utilizing community dynamics in PVE. The peaceful nature of Karak demonstrates the effectiveness of community-driven strategies in maintaining peace and stability. Thus, the study offers a novel perspective urging policymakers to adopt bottom-up community-led strategies for PVE. The developed conceptual framework provides practical recommendations to nurture community dynamics at the local level to eradicate VE. </w:t>
      </w:r>
    </w:p>
    <w:sectPr w:rsidR="000600EC" w:rsidRPr="005367EE" w:rsidSect="00D53E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24EFD" w14:textId="77777777" w:rsidR="008C7ACF" w:rsidRDefault="008C7ACF" w:rsidP="00FA4856">
      <w:pPr>
        <w:spacing w:after="0" w:line="240" w:lineRule="auto"/>
      </w:pPr>
      <w:r>
        <w:separator/>
      </w:r>
    </w:p>
  </w:endnote>
  <w:endnote w:type="continuationSeparator" w:id="0">
    <w:p w14:paraId="72372171" w14:textId="77777777" w:rsidR="008C7ACF" w:rsidRDefault="008C7ACF" w:rsidP="00FA4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A6810" w14:textId="77777777" w:rsidR="008C7ACF" w:rsidRDefault="008C7ACF" w:rsidP="00FA4856">
      <w:pPr>
        <w:spacing w:after="0" w:line="240" w:lineRule="auto"/>
      </w:pPr>
      <w:r>
        <w:separator/>
      </w:r>
    </w:p>
  </w:footnote>
  <w:footnote w:type="continuationSeparator" w:id="0">
    <w:p w14:paraId="593B92EE" w14:textId="77777777" w:rsidR="008C7ACF" w:rsidRDefault="008C7ACF" w:rsidP="00FA4856">
      <w:pPr>
        <w:spacing w:after="0" w:line="240" w:lineRule="auto"/>
      </w:pPr>
      <w:r>
        <w:continuationSeparator/>
      </w:r>
    </w:p>
  </w:footnote>
  <w:footnote w:id="1">
    <w:p w14:paraId="512B2201" w14:textId="4C6A328B" w:rsidR="005B03FF" w:rsidRDefault="005B03FF" w:rsidP="005B03FF">
      <w:pPr>
        <w:pStyle w:val="FootnoteText"/>
      </w:pPr>
      <w:r w:rsidRPr="00B974B2">
        <w:rPr>
          <w:rStyle w:val="FootnoteReference"/>
        </w:rPr>
        <w:footnoteRef/>
      </w:r>
      <w:r>
        <w:t xml:space="preserve"> </w:t>
      </w:r>
      <w:r>
        <w:fldChar w:fldCharType="begin"/>
      </w:r>
      <w:r w:rsidR="00300324">
        <w:instrText xml:space="preserve"> ADDIN ZOTERO_ITEM CSL_CITATION {"citationID":"a9qjr9nokv","properties":{"formattedCitation":"Dalgaard-Nielsen and Schack, \\uc0\\u8220{}Community Resilience to Militant Islamism.\\uc0\\u8221{}","plainCitation":"Dalgaard-Nielsen and Schack, “Community Resilience to Militant Islamism.”","dontUpdate":true,"noteIndex":1},"citationItems":[{"id":2982,"uris":["http://zotero.org/users/local/AUSBwQ2L/items/V5GZWW3J","http://zotero.org/users/12431208/items/V5GZWW3J"],"itemData":{"id":2982,"type":"article-journal","abstract":"Building community resilience to violent extremism increasingly figures as a goal in national security strategies and debates. The exact meaning of resilience remains unclear, complicating an informed discussion of whom and what to support. This article presents findings from an explorative study of resilience to militant Islamism in three Danish communities. It shows how families and trust-based networks, including local government, are the major sources of resilience, but also how punitive national policies and discourses work at cross purposes with resilience-building by reducing local actors’ willingness and ability to share their problems, tailor solutions to local conditions, and mobilize collectively.","container-title":"Democracy and Security","DOI":"10.1080/17419166.2016.1236691","ISSN":"1741-9166, 1555-5860","issue":"4","journalAbbreviation":"Democracy and Security","language":"en","page":"309-327","source":"DOI.org (Crossref)","title":"Community Resilience to Militant Islamism: Who and What?: An Explorative Study of Resilience in Three Danish Communities","title-short":"Community Resilience to Militant Islamism","volume":"12","author":[{"family":"Dalgaard-Nielsen","given":"Anja"},{"family":"Schack","given":"Patrick"}],"issued":{"date-parts":[["2016",10]]}}}],"schema":"https://github.com/citation-style-language/schema/raw/master/csl-citation.json"} </w:instrText>
      </w:r>
      <w:r>
        <w:fldChar w:fldCharType="separate"/>
      </w:r>
      <w:r w:rsidRPr="00FA3F58">
        <w:rPr>
          <w:rFonts w:cs="Times New Roman"/>
          <w:kern w:val="0"/>
        </w:rPr>
        <w:t xml:space="preserve">Dalgaard-Nielsen and </w:t>
      </w:r>
      <w:r>
        <w:rPr>
          <w:rFonts w:cs="Times New Roman"/>
          <w:kern w:val="0"/>
        </w:rPr>
        <w:t xml:space="preserve">Patrik </w:t>
      </w:r>
      <w:r w:rsidRPr="00FA3F58">
        <w:rPr>
          <w:rFonts w:cs="Times New Roman"/>
          <w:kern w:val="0"/>
        </w:rPr>
        <w:t>Schack</w:t>
      </w:r>
      <w:r>
        <w:rPr>
          <w:rFonts w:cs="Times New Roman"/>
          <w:kern w:val="0"/>
        </w:rPr>
        <w:t>, "</w:t>
      </w:r>
      <w:r w:rsidRPr="003B658E">
        <w:rPr>
          <w:rFonts w:cs="Times New Roman"/>
          <w:kern w:val="0"/>
        </w:rPr>
        <w:t>Community Resilience to Militant Islamism: Who and What?</w:t>
      </w:r>
      <w:r>
        <w:rPr>
          <w:rFonts w:cs="Times New Roman"/>
          <w:kern w:val="0"/>
        </w:rPr>
        <w:t xml:space="preserve"> </w:t>
      </w:r>
      <w:r w:rsidRPr="003B658E">
        <w:rPr>
          <w:rFonts w:cs="Times New Roman"/>
          <w:kern w:val="0"/>
        </w:rPr>
        <w:t>An Explorative Study of Resilience in Three Danish Communities</w:t>
      </w:r>
      <w:r>
        <w:rPr>
          <w:rFonts w:cs="Times New Roman"/>
          <w:kern w:val="0"/>
        </w:rPr>
        <w:t>,</w:t>
      </w:r>
      <w:r w:rsidRPr="00FA3F58">
        <w:rPr>
          <w:rFonts w:cs="Times New Roman"/>
          <w:kern w:val="0"/>
        </w:rPr>
        <w:t>”</w:t>
      </w:r>
      <w:r>
        <w:fldChar w:fldCharType="end"/>
      </w:r>
      <w:r>
        <w:t xml:space="preserve"> </w:t>
      </w:r>
      <w:r w:rsidRPr="00863B37">
        <w:rPr>
          <w:i/>
          <w:iCs/>
        </w:rPr>
        <w:t>Democracy and Security</w:t>
      </w:r>
      <w:r w:rsidR="00863B37">
        <w:t xml:space="preserve"> 1</w:t>
      </w:r>
      <w:r w:rsidRPr="003B658E">
        <w:t>2</w:t>
      </w:r>
      <w:r w:rsidR="00863B37">
        <w:t xml:space="preserve">, no. </w:t>
      </w:r>
      <w:r w:rsidRPr="003B658E">
        <w:t xml:space="preserve">4 </w:t>
      </w:r>
      <w:r>
        <w:t xml:space="preserve">(2016): </w:t>
      </w:r>
      <w:r w:rsidRPr="003B658E">
        <w:t>3</w:t>
      </w:r>
      <w:r>
        <w:t>14.</w:t>
      </w:r>
    </w:p>
  </w:footnote>
  <w:footnote w:id="2">
    <w:p w14:paraId="1ED2E004" w14:textId="62E9ECBB" w:rsidR="00300324" w:rsidRDefault="00300324">
      <w:pPr>
        <w:pStyle w:val="FootnoteText"/>
      </w:pPr>
      <w:r>
        <w:rPr>
          <w:rStyle w:val="FootnoteReference"/>
        </w:rPr>
        <w:footnoteRef/>
      </w:r>
      <w:r>
        <w:t xml:space="preserve"> </w:t>
      </w:r>
      <w:r>
        <w:fldChar w:fldCharType="begin"/>
      </w:r>
      <w:r>
        <w:instrText xml:space="preserve"> ADDIN ZOTERO_ITEM CSL_CITATION {"citationID":"kzleW8TG","properties":{"formattedCitation":"Rui Saraiva and Alastair Erfe, \\uc0\\u8220{}Preventing Violent Extremism with Resilience, Adaptive Peacebuilding, and Community-Embedded Approaches,\\uc0\\u8221{} {\\i{}Current Opinion in Environmental Sustainability} 61 (April 2023): 101271, https://doi.org/10.1016/j.cosust.2023.101271.","plainCitation":"Rui Saraiva and Alastair Erfe, “Preventing Violent Extremism with Resilience, Adaptive Peacebuilding, and Community-Embedded Approaches,” Current Opinion in Environmental Sustainability 61 (April 2023): 101271, https://doi.org/10.1016/j.cosust.2023.101271.","noteIndex":2},"citationItems":[{"id":775,"uris":["http://zotero.org/users/12431208/items/2MMQJ7AF"],"itemData":{"id":775,"type":"article-journal","container-title":"Current Opinion in Environmental Sustainability","DOI":"10.1016/j.cosust.2023.101271","ISSN":"18773435","journalAbbreviation":"Current Opinion in Environmental Sustainability","language":"en","page":"101271","source":"DOI.org (Crossref)","title":"Preventing violent extremism with resilience, adaptive peacebuilding, and community-embedded approaches","volume":"61","author":[{"family":"Saraiva","given":"Rui"},{"family":"Erfe","given":"Alastair"}],"issued":{"date-parts":[["2023",4]]}}}],"schema":"https://github.com/citation-style-language/schema/raw/master/csl-citation.json"} </w:instrText>
      </w:r>
      <w:r>
        <w:fldChar w:fldCharType="separate"/>
      </w:r>
      <w:r w:rsidRPr="00300324">
        <w:rPr>
          <w:rFonts w:cs="Times New Roman"/>
          <w:kern w:val="0"/>
        </w:rPr>
        <w:t xml:space="preserve">Rui Saraiva and Alastair Erfe, “Preventing Violent Extremism with Resilience, Adaptive Peacebuilding, and Community-Embedded Approaches,” </w:t>
      </w:r>
      <w:r w:rsidRPr="00300324">
        <w:rPr>
          <w:rFonts w:cs="Times New Roman"/>
          <w:i/>
          <w:iCs/>
          <w:kern w:val="0"/>
        </w:rPr>
        <w:t>Current Opinion in Environmental Sustainability</w:t>
      </w:r>
      <w:r w:rsidRPr="00300324">
        <w:rPr>
          <w:rFonts w:cs="Times New Roman"/>
          <w:kern w:val="0"/>
        </w:rPr>
        <w:t xml:space="preserve"> 61 (April 2023): 101, https://doi.org/10.1016/j.cosust.2023.101271.</w:t>
      </w:r>
      <w:r>
        <w:fldChar w:fldCharType="end"/>
      </w:r>
    </w:p>
  </w:footnote>
  <w:footnote w:id="3">
    <w:p w14:paraId="2CE2B70D" w14:textId="3822B92E" w:rsidR="00300324" w:rsidRDefault="00300324">
      <w:pPr>
        <w:pStyle w:val="FootnoteText"/>
      </w:pPr>
      <w:r>
        <w:rPr>
          <w:rStyle w:val="FootnoteReference"/>
        </w:rPr>
        <w:footnoteRef/>
      </w:r>
      <w:r>
        <w:t xml:space="preserve"> </w:t>
      </w:r>
      <w:r>
        <w:fldChar w:fldCharType="begin"/>
      </w:r>
      <w:r>
        <w:instrText xml:space="preserve"> ADDIN ZOTERO_ITEM CSL_CITATION {"citationID":"nKfzmL9r","properties":{"formattedCitation":"S\\uc0\\u305{}dd\\uc0\\u305{}k Ekici, ed., {\\i{}Building Terrorism Resistant Communities: Together against Terrorism}, NATO Science for Peace and Security Series. E, Human and Societal Dynamics, v. 55 (NATO Advanced Research Workshop on Together against Terrorism: Building Terrorism Resistant Communities, Amsterdam\\uc0\\u8239{}; Washington, DC: IOS Press, 2009).","plainCitation":"Sıddık Ekici, ed., Building Terrorism Resistant Communities: Together against Terrorism, NATO Science for Peace and Security Series. E, Human and Societal Dynamics, v. 55 (NATO Advanced Research Workshop on Together against Terrorism: Building Terrorism Resistant Communities, Amsterdam ; Washington, DC: IOS Press, 2009).","noteIndex":3},"citationItems":[{"id":39,"uris":["http://zotero.org/users/12431208/items/FNX48E5H"],"itemData":{"id":39,"type":"book","call-number":"HV6431 .N38374 2008","collection-number":"v. 55","collection-title":"NATO science for peace and security series. E, Human and societal dynamics","event-place":"Amsterdam ; Washington, DC","ISBN":"978-1-60750-006-3","language":"en","note":"event-title: NATO Advanced Research Workshop on Together against Terrorism: Building Terrorism Resistant Communities\nOCLC: ocn441170929","number-of-pages":"349","publisher":"IOS Press","publisher-place":"Amsterdam ; Washington, DC","source":"Library of Congress ISBN","title":"Building terrorism resistant communities: together against terrorism","title-short":"Building terrorism resistant communities","editor":[{"family":"Ekici","given":"Sıddık"}],"issued":{"date-parts":[["2009"]]}}}],"schema":"https://github.com/citation-style-language/schema/raw/master/csl-citation.json"} </w:instrText>
      </w:r>
      <w:r>
        <w:fldChar w:fldCharType="separate"/>
      </w:r>
      <w:proofErr w:type="spellStart"/>
      <w:r w:rsidRPr="00300324">
        <w:rPr>
          <w:rFonts w:cs="Times New Roman"/>
          <w:kern w:val="0"/>
        </w:rPr>
        <w:t>Sıddık</w:t>
      </w:r>
      <w:proofErr w:type="spellEnd"/>
      <w:r w:rsidRPr="00300324">
        <w:rPr>
          <w:rFonts w:cs="Times New Roman"/>
          <w:kern w:val="0"/>
        </w:rPr>
        <w:t xml:space="preserve"> Ekici, ed., </w:t>
      </w:r>
      <w:r w:rsidRPr="00300324">
        <w:rPr>
          <w:rFonts w:cs="Times New Roman"/>
          <w:i/>
          <w:iCs/>
          <w:kern w:val="0"/>
        </w:rPr>
        <w:t>Building Terrorism Resistant Communities: Together against Terrorism</w:t>
      </w:r>
      <w:r w:rsidRPr="00300324">
        <w:rPr>
          <w:rFonts w:cs="Times New Roman"/>
          <w:kern w:val="0"/>
        </w:rPr>
        <w:t>, NATO Science for Peace and Security Series. E, Human and Societal Dynamics, v. 55 (NATO Advanced Research Workshop on Together against Terrorism: Building Terrorism Resistant Communities</w:t>
      </w:r>
      <w:r>
        <w:rPr>
          <w:rFonts w:cs="Times New Roman"/>
          <w:kern w:val="0"/>
        </w:rPr>
        <w:t xml:space="preserve"> (</w:t>
      </w:r>
      <w:r w:rsidRPr="00300324">
        <w:rPr>
          <w:rFonts w:cs="Times New Roman"/>
          <w:kern w:val="0"/>
        </w:rPr>
        <w:t>Washington, DC: IOS Press, 2009).</w:t>
      </w:r>
      <w:r>
        <w:fldChar w:fldCharType="end"/>
      </w:r>
    </w:p>
  </w:footnote>
  <w:footnote w:id="4">
    <w:p w14:paraId="457854C7" w14:textId="14DC1922" w:rsidR="00300324" w:rsidRDefault="00300324">
      <w:pPr>
        <w:pStyle w:val="FootnoteText"/>
      </w:pPr>
      <w:r>
        <w:rPr>
          <w:rStyle w:val="FootnoteReference"/>
        </w:rPr>
        <w:footnoteRef/>
      </w:r>
      <w:r>
        <w:t xml:space="preserve"> </w:t>
      </w:r>
      <w:r w:rsidRPr="00AC0D7F">
        <w:t>Lauren Van Metre and Jason Calder</w:t>
      </w:r>
      <w:r>
        <w:t>, ‘</w:t>
      </w:r>
      <w:r w:rsidRPr="00AC0D7F">
        <w:t>PEACEBUILDING AND RESILIENCE</w:t>
      </w:r>
      <w:r>
        <w:t xml:space="preserve">: How Society Respond to Violence’, </w:t>
      </w:r>
      <w:r w:rsidRPr="00257F26">
        <w:rPr>
          <w:i/>
          <w:iCs/>
        </w:rPr>
        <w:t>United States Institute of Peace</w:t>
      </w:r>
      <w:r>
        <w:t xml:space="preserve"> (2016).</w:t>
      </w:r>
    </w:p>
  </w:footnote>
  <w:footnote w:id="5">
    <w:p w14:paraId="1CCA54DA" w14:textId="76AAC896" w:rsidR="00300324" w:rsidRDefault="00300324">
      <w:pPr>
        <w:pStyle w:val="FootnoteText"/>
      </w:pPr>
      <w:r>
        <w:rPr>
          <w:rStyle w:val="FootnoteReference"/>
        </w:rPr>
        <w:footnoteRef/>
      </w:r>
      <w:r>
        <w:t xml:space="preserve"> </w:t>
      </w:r>
      <w:r>
        <w:fldChar w:fldCharType="begin"/>
      </w:r>
      <w:r>
        <w:instrText xml:space="preserve"> ADDIN ZOTERO_ITEM CSL_CITATION {"citationID":"QSXhlXwT","properties":{"formattedCitation":"Malin E. Wimelius et al., \\uc0\\u8220{}What Is Local Resilience Against Radicalization and How Can It Be Promoted? A Multidisciplinary Literature Review,\\uc0\\u8221{} {\\i{}Studies in Conflict &amp; Terrorism} 46, no. 7 (July 3, 2023): 1108\\uc0\\u8211{}25, https://doi.org/10.1080/1057610X.2018.1531532.","plainCitation":"Malin E. Wimelius et al., “What Is Local Resilience Against Radicalization and How Can It Be Promoted? A Multidisciplinary Literature Review,” Studies in Conflict &amp; Terrorism 46, no. 7 (July 3, 2023): 1108–25, https://doi.org/10.1080/1057610X.2018.1531532.","noteIndex":5},"citationItems":[{"id":43,"uris":["http://zotero.org/users/12431208/items/QPDR7FCN"],"itemData":{"id":43,"type":"article-journal","abstract":"In this research note, we present results from a review of research on local resilience in relation to radicalization in public health, social work, crisis management, and community policing using terrorism studies as a point of departure. In order to identify agreements between literatures, we focus on how local resilience is understood, how it is said to be promoted, and how this knowledge could be synthesized. We show that resilience by and large is understood as both a process and a capacity underpinned by cooperation, social networks, and community resources and that an initial mapping of existing strengths and resources is pivotal for local resilience-building.","container-title":"Studies in Conflict &amp; Terrorism","DOI":"10.1080/1057610X.2018.1531532","ISSN":"1057-610X, 1521-0731","issue":"7","journalAbbreviation":"Studies in Conflict &amp; Terrorism","language":"en","page":"1108-1125","source":"DOI.org (Crossref)","title":"What is Local Resilience Against Radicalization and How can it be Promoted? A Multidisciplinary Literature Review","title-short":"What is Local Resilience Against Radicalization and How can it be Promoted?","volume":"46","author":[{"family":"Wimelius","given":"Malin E."},{"family":"Eriksson","given":"Malin"},{"family":"Kinsman","given":"John"},{"family":"Strandh","given":"Veronica"},{"family":"Ghazinour","given":"Mehdi"}],"issued":{"date-parts":[["2023",7,3]]}}}],"schema":"https://github.com/citation-style-language/schema/raw/master/csl-citation.json"} </w:instrText>
      </w:r>
      <w:r>
        <w:fldChar w:fldCharType="separate"/>
      </w:r>
      <w:r w:rsidRPr="00300324">
        <w:rPr>
          <w:rFonts w:cs="Times New Roman"/>
          <w:kern w:val="0"/>
        </w:rPr>
        <w:t xml:space="preserve">Malin E. Wimelius et al., “What Is Local Resilience Against Radicalization and How Can It Be Promoted? A Multidisciplinary Literature Review,” </w:t>
      </w:r>
      <w:r w:rsidRPr="00300324">
        <w:rPr>
          <w:rFonts w:cs="Times New Roman"/>
          <w:i/>
          <w:iCs/>
          <w:kern w:val="0"/>
        </w:rPr>
        <w:t>Studies in Conflict &amp; Terrorism</w:t>
      </w:r>
      <w:r w:rsidRPr="00300324">
        <w:rPr>
          <w:rFonts w:cs="Times New Roman"/>
          <w:kern w:val="0"/>
        </w:rPr>
        <w:t xml:space="preserve"> 46, no. 7 (July 3, 2023): 11</w:t>
      </w:r>
      <w:r w:rsidR="00257F26">
        <w:rPr>
          <w:rFonts w:cs="Times New Roman"/>
          <w:kern w:val="0"/>
        </w:rPr>
        <w:t>10</w:t>
      </w:r>
      <w:r w:rsidRPr="00300324">
        <w:rPr>
          <w:rFonts w:cs="Times New Roman"/>
          <w:kern w:val="0"/>
        </w:rPr>
        <w:t>, https://doi.org/10.1080/1057610X.2018.1531532.</w:t>
      </w:r>
      <w:r>
        <w:fldChar w:fldCharType="end"/>
      </w:r>
    </w:p>
  </w:footnote>
  <w:footnote w:id="6">
    <w:p w14:paraId="5C25E275" w14:textId="02A104F5" w:rsidR="00300324" w:rsidRDefault="00300324">
      <w:pPr>
        <w:pStyle w:val="FootnoteText"/>
      </w:pPr>
      <w:r>
        <w:rPr>
          <w:rStyle w:val="FootnoteReference"/>
        </w:rPr>
        <w:footnoteRef/>
      </w:r>
      <w:r>
        <w:t xml:space="preserve"> </w:t>
      </w:r>
      <w:r>
        <w:fldChar w:fldCharType="begin"/>
      </w:r>
      <w:r>
        <w:instrText xml:space="preserve"> ADDIN ZOTERO_ITEM CSL_CITATION {"citationID":"oZo8Ofzy","properties":{"formattedCitation":"Roger Mac Ginty and Oliver P Richmond, \\uc0\\u8220{}The Local Turn in Peace Building: A Critical Agenda for Peace,\\uc0\\u8221{} {\\i{}Third World Quarterly} 34, no. 5 (June 2013): 763\\uc0\\u8211{}83, https://doi.org/10.1080/01436597.2013.800750.","plainCitation":"Roger Mac Ginty and Oliver P Richmond, “The Local Turn in Peace Building: A Critical Agenda for Peace,” Third World Quarterly 34, no. 5 (June 2013): 763–83, https://doi.org/10.1080/01436597.2013.800750.","noteIndex":6},"citationItems":[{"id":782,"uris":["http://zotero.org/users/12431208/items/82TBMQFF"],"itemData":{"id":782,"type":"article-journal","abstract":"This article unpacks the renaissance of interest in ‘the local’ in peace building. It pays increased attention to local dimensions of peace in a wider context of increased assertiveness by local actors as well as a loss of conﬁdence by major actors behind international peace-support actors. The article sees the ‘local turn’ in peace building as part of a wider critical turn in the study of peace and conﬂict, and focuses on the epistemological consequences of the recourse to localism in the conceptualisation and execution of peace building. The local turn has implications for the nature and location of power in peace building. This article is largely conceptual and theoretical in nature but it is worth noting that the local turn is based on reactions to real-world events.","container-title":"Third World Quarterly","DOI":"10.1080/01436597.2013.800750","ISSN":"0143-6597, 1360-2241","issue":"5","journalAbbreviation":"Third World Quarterly","language":"en","page":"763-783","source":"DOI.org (Crossref)","title":"The Local Turn in Peace Building: a critical agenda for peace","title-short":"The Local Turn in Peace Building","volume":"34","author":[{"family":"Mac Ginty","given":"Roger"},{"family":"Richmond","given":"Oliver P"}],"issued":{"date-parts":[["2013",6]]}}}],"schema":"https://github.com/citation-style-language/schema/raw/master/csl-citation.json"} </w:instrText>
      </w:r>
      <w:r>
        <w:fldChar w:fldCharType="separate"/>
      </w:r>
      <w:r w:rsidRPr="00300324">
        <w:rPr>
          <w:rFonts w:cs="Times New Roman"/>
          <w:kern w:val="0"/>
        </w:rPr>
        <w:t xml:space="preserve">Roger Mac Ginty and Oliver P Richmond, “The Local Turn in Peace Building: A Critical Agenda for Peace,” </w:t>
      </w:r>
      <w:r w:rsidRPr="00300324">
        <w:rPr>
          <w:rFonts w:cs="Times New Roman"/>
          <w:i/>
          <w:iCs/>
          <w:kern w:val="0"/>
        </w:rPr>
        <w:t>Third World Quarterly</w:t>
      </w:r>
      <w:r w:rsidRPr="00300324">
        <w:rPr>
          <w:rFonts w:cs="Times New Roman"/>
          <w:kern w:val="0"/>
        </w:rPr>
        <w:t xml:space="preserve"> 34, no. 5 (June 2013): 763, https://doi.org/10.1080/01436597.2013.800750.</w:t>
      </w:r>
      <w:r>
        <w:fldChar w:fldCharType="end"/>
      </w:r>
    </w:p>
  </w:footnote>
  <w:footnote w:id="7">
    <w:p w14:paraId="14524463" w14:textId="3246FFAC" w:rsidR="00300324" w:rsidRDefault="00300324">
      <w:pPr>
        <w:pStyle w:val="FootnoteText"/>
      </w:pPr>
      <w:r>
        <w:rPr>
          <w:rStyle w:val="FootnoteReference"/>
        </w:rPr>
        <w:footnoteRef/>
      </w:r>
      <w:r>
        <w:t xml:space="preserve"> </w:t>
      </w:r>
      <w:r w:rsidRPr="00AC0D7F">
        <w:t>Lauren Van Metre and Jason Calder</w:t>
      </w:r>
      <w:r>
        <w:t>, ‘</w:t>
      </w:r>
      <w:r w:rsidRPr="00AC0D7F">
        <w:t>PEACEBUILDING AND RESILIENCE</w:t>
      </w:r>
      <w:r>
        <w:t>: How Society Respond to Violence’, United States Institute of Peace (2016).</w:t>
      </w:r>
    </w:p>
  </w:footnote>
  <w:footnote w:id="8">
    <w:p w14:paraId="2EC4966F" w14:textId="32EA6410" w:rsidR="00300324" w:rsidRDefault="00300324">
      <w:pPr>
        <w:pStyle w:val="FootnoteText"/>
      </w:pPr>
      <w:r>
        <w:rPr>
          <w:rStyle w:val="FootnoteReference"/>
        </w:rPr>
        <w:footnoteRef/>
      </w:r>
      <w:r>
        <w:t xml:space="preserve"> </w:t>
      </w:r>
      <w:r>
        <w:fldChar w:fldCharType="begin"/>
      </w:r>
      <w:r>
        <w:instrText xml:space="preserve"> ADDIN ZOTERO_ITEM CSL_CITATION {"citationID":"GbR7PdbD","properties":{"formattedCitation":"R. J. Sampson, S. W. Raudenbush, and F. Earls, \\uc0\\u8220{}Neighborhoods and Violent Crime: A Multilevel Study of Collective Efficacy,\\uc0\\u8221{} {\\i{}Science (New York, N.Y.)} 277, no. 5328 (August 15, 1997): 918\\uc0\\u8211{}24, https://doi.org/10.1126/science.277.5328.918.","plainCitation":"R. J. Sampson, S. W. Raudenbush, and F. Earls, “Neighborhoods and Violent Crime: A Multilevel Study of Collective Efficacy,” Science (New York, N.Y.) 277, no. 5328 (August 15, 1997): 918–24, https://doi.org/10.1126/science.277.5328.918.","noteIndex":8},"citationItems":[{"id":957,"uris":["http://zotero.org/users/12431208/items/4SBLQCQK"],"itemData":{"id":957,"type":"article-journal","abstract":"It is hypothesized that collective efficacy, defined as social cohesion among neighbors combined with their willingness to intervene on behalf of the common good, is linked to reduced violence. This hypothesis was tested on a 1995 survey of 8782 residents of 343 neighborhoods in Chicago, Illinois. Multilevel analyses showed that a measure of collective efficacy yields a high between-neighborhood reliability and is negatively associated with variations in violence, when individual-level characteristics, measurement error, and prior violence are controlled. Associations of concentrated disadvantage and residential instability with violence are largely mediated by collective efficacy.","container-title":"Science (New York, N.Y.)","DOI":"10.1126/science.277.5328.918","ISSN":"0036-8075","issue":"5328","journalAbbreviation":"Science","language":"eng","note":"PMID: 9252316","page":"918-924","source":"PubMed","title":"Neighborhoods and violent crime: a multilevel study of collective efficacy","title-short":"Neighborhoods and violent crime","volume":"277","author":[{"family":"Sampson","given":"R. J."},{"family":"Raudenbush","given":"S. W."},{"family":"Earls","given":"F."}],"issued":{"date-parts":[["1997",8,15]]}}}],"schema":"https://github.com/citation-style-language/schema/raw/master/csl-citation.json"} </w:instrText>
      </w:r>
      <w:r>
        <w:fldChar w:fldCharType="separate"/>
      </w:r>
      <w:r w:rsidRPr="00300324">
        <w:rPr>
          <w:rFonts w:cs="Times New Roman"/>
          <w:kern w:val="0"/>
        </w:rPr>
        <w:t xml:space="preserve">R. J. Sampson, S. W. Raudenbush, and F. Earls, “Neighborhoods and Violent Crime: A Multilevel Study of Collective Efficacy,” </w:t>
      </w:r>
      <w:r w:rsidRPr="00300324">
        <w:rPr>
          <w:rFonts w:cs="Times New Roman"/>
          <w:i/>
          <w:iCs/>
          <w:kern w:val="0"/>
        </w:rPr>
        <w:t>Science (New York, N.Y.)</w:t>
      </w:r>
      <w:r w:rsidRPr="00300324">
        <w:rPr>
          <w:rFonts w:cs="Times New Roman"/>
          <w:kern w:val="0"/>
        </w:rPr>
        <w:t xml:space="preserve"> 277, no. 5328 (August 15, 1997): 91</w:t>
      </w:r>
      <w:r w:rsidR="00257F26">
        <w:rPr>
          <w:rFonts w:cs="Times New Roman"/>
          <w:kern w:val="0"/>
        </w:rPr>
        <w:t>8</w:t>
      </w:r>
      <w:r w:rsidRPr="00300324">
        <w:rPr>
          <w:rFonts w:cs="Times New Roman"/>
          <w:kern w:val="0"/>
        </w:rPr>
        <w:t>, https://doi.org/10.1126/science.277.5328.918.</w:t>
      </w:r>
      <w:r>
        <w:fldChar w:fldCharType="end"/>
      </w:r>
    </w:p>
  </w:footnote>
  <w:footnote w:id="9">
    <w:p w14:paraId="2895FA11" w14:textId="64D8D84E" w:rsidR="00300324" w:rsidRDefault="00300324">
      <w:pPr>
        <w:pStyle w:val="FootnoteText"/>
      </w:pPr>
      <w:r>
        <w:rPr>
          <w:rStyle w:val="FootnoteReference"/>
        </w:rPr>
        <w:footnoteRef/>
      </w:r>
      <w:r>
        <w:t xml:space="preserve"> </w:t>
      </w:r>
      <w:r>
        <w:fldChar w:fldCharType="begin"/>
      </w:r>
      <w:r>
        <w:instrText xml:space="preserve"> ADDIN ZOTERO_ITEM CSL_CITATION {"citationID":"unnjUgbE","properties":{"formattedCitation":"Travis Hirschi, {\\i{}Causes of Delinquency} (London New York: Routledge, 2017).","plainCitation":"Travis Hirschi, Causes of Delinquency (London New York: Routledge, 2017).","noteIndex":9},"citationItems":[{"id":883,"uris":["http://zotero.org/users/12431208/items/ZNZWSANN"],"itemData":{"id":883,"type":"book","abstract":"Hirschi studies data and rejects the two prevailing theories -- the criminal is either one who is a frustrated striver forced into deliquency by his acceptance of goals common to us all or one who is an innocent foreigner attempting to obey the rules of a society that is not in a position to make the law or define \"evil\" conduct. Rather he states the case that delinquents are often free of serious intimate attachments, aspirations, and moral beliefs that bind most people under the theory of social control","event-place":"London New York","ISBN":"978-0-7658-0900-1","language":"en","number-of-pages":"309","publisher":"Routledge","publisher-place":"London New York","source":"K10plus ISBN","title":"Causes of delinquency","author":[{"family":"Hirschi","given":"Travis"}],"issued":{"date-parts":[["2017"]]}}}],"schema":"https://github.com/citation-style-language/schema/raw/master/csl-citation.json"} </w:instrText>
      </w:r>
      <w:r>
        <w:fldChar w:fldCharType="separate"/>
      </w:r>
      <w:r w:rsidRPr="00300324">
        <w:rPr>
          <w:rFonts w:cs="Times New Roman"/>
          <w:kern w:val="0"/>
        </w:rPr>
        <w:t xml:space="preserve">Travis Hirschi, </w:t>
      </w:r>
      <w:r w:rsidRPr="00300324">
        <w:rPr>
          <w:rFonts w:cs="Times New Roman"/>
          <w:i/>
          <w:iCs/>
          <w:kern w:val="0"/>
        </w:rPr>
        <w:t>Causes of Delinquency</w:t>
      </w:r>
      <w:r w:rsidRPr="00300324">
        <w:rPr>
          <w:rFonts w:cs="Times New Roman"/>
          <w:kern w:val="0"/>
        </w:rPr>
        <w:t xml:space="preserve"> (London New York: Routledge, 2017).</w:t>
      </w:r>
      <w:r>
        <w:fldChar w:fldCharType="end"/>
      </w:r>
    </w:p>
  </w:footnote>
  <w:footnote w:id="10">
    <w:p w14:paraId="528C2EAC" w14:textId="3BAAC532" w:rsidR="00300324" w:rsidRDefault="00300324">
      <w:pPr>
        <w:pStyle w:val="FootnoteText"/>
      </w:pPr>
      <w:r>
        <w:rPr>
          <w:rStyle w:val="FootnoteReference"/>
        </w:rPr>
        <w:footnoteRef/>
      </w:r>
      <w:r>
        <w:t xml:space="preserve"> </w:t>
      </w:r>
      <w:r>
        <w:fldChar w:fldCharType="begin"/>
      </w:r>
      <w:r>
        <w:instrText xml:space="preserve"> ADDIN ZOTERO_ITEM CSL_CITATION {"citationID":"kv9ZduXM","properties":{"formattedCitation":"Markus keck and Patrick Sakdapolrak, \\uc0\\u8216{}WHAT IS SOCIAL RESILIENCE? LESSONS LEARNED AND WAYS FORWARD\\uc0\\u8217{}, 2013, 5\\uc0\\u8211{}19.","plainCitation":"Markus keck and Patrick Sakdapolrak, ‘WHAT IS SOCIAL RESILIENCE? LESSONS LEARNED AND WAYS FORWARD’, 2013, 5–19.","dontUpdate":true,"noteIndex":10},"citationItems":[{"id":780,"uris":["http://zotero.org/users/local/AUSBwQ2L/items/93YRFQP4","http://zotero.org/users/12431208/items/93YRFQP4"],"itemData":{"id":780,"type":"article-journal","abstract":"Over the last decade, a growing body of literature has emerged which is concerned with the question of what form a promising concept of social resilience might take. In this article we argue that social resilience has the potential to be crafted into a coherent analytic framework that can build on scientific knowledge from the established concept of social vulnerability, and offer a fresh perspective on today's challenges of global change. Based on a critical review of recently published literature on the issue, we propose to define social resilience as being comprised of three dimensions: 1. Coping capacities —Ùiz ability of social actors to cope with and overcome all kinds of adversities; 2. Adaptive capacities — their ability to learn from past experiences and adjust themselves to future challenges in their everyday lives; 3. Transformative capacities — their ability to craft sets of institutions that foster individual welfare and sustainable societal robustness towards Viewed in this way, the search for ways to build social resilience — especially in the livelihoods of the poor and — is revealed to be not only a technical, but also a political issue. future crises.","language":"en","page":"5-19","source":"Zotero","title":"WHAT IS SOCIAL RESILIENCE? LESSONS LEARNED AND WAYS FORWARD","author":[{"family":"keck","given":"Markus"},{"family":"Sakdapolrak","given":"Patrick"}],"issued":{"date-parts":[["2013"]]}}}],"schema":"https://github.com/citation-style-language/schema/raw/master/csl-citation.json"} </w:instrText>
      </w:r>
      <w:r>
        <w:fldChar w:fldCharType="separate"/>
      </w:r>
      <w:r w:rsidRPr="00D01319">
        <w:rPr>
          <w:rFonts w:cs="Times New Roman"/>
          <w:kern w:val="0"/>
          <w:szCs w:val="24"/>
        </w:rPr>
        <w:t xml:space="preserve">Markus </w:t>
      </w:r>
      <w:r>
        <w:rPr>
          <w:rFonts w:cs="Times New Roman"/>
          <w:kern w:val="0"/>
          <w:szCs w:val="24"/>
        </w:rPr>
        <w:t>Keck</w:t>
      </w:r>
      <w:r w:rsidRPr="00D01319">
        <w:rPr>
          <w:rFonts w:cs="Times New Roman"/>
          <w:kern w:val="0"/>
          <w:szCs w:val="24"/>
        </w:rPr>
        <w:t xml:space="preserve"> and Patrick Sakdapolrak, ‘WHAT IS SOCIAL RESILIENCE? LESSONS LEARNED AND WAYS FORWARD’, </w:t>
      </w:r>
      <w:r w:rsidR="00257F26" w:rsidRPr="00257F26">
        <w:rPr>
          <w:rFonts w:cs="Times New Roman"/>
          <w:i/>
          <w:iCs/>
          <w:kern w:val="0"/>
          <w:szCs w:val="24"/>
        </w:rPr>
        <w:t>Erdkunde</w:t>
      </w:r>
      <w:r w:rsidR="00257F26">
        <w:rPr>
          <w:rFonts w:cs="Times New Roman"/>
          <w:kern w:val="0"/>
          <w:szCs w:val="24"/>
        </w:rPr>
        <w:t xml:space="preserve"> 67, no. 1 </w:t>
      </w:r>
      <w:r>
        <w:rPr>
          <w:rFonts w:cs="Times New Roman"/>
          <w:kern w:val="0"/>
          <w:szCs w:val="24"/>
        </w:rPr>
        <w:t>(</w:t>
      </w:r>
      <w:r w:rsidRPr="00D01319">
        <w:rPr>
          <w:rFonts w:cs="Times New Roman"/>
          <w:kern w:val="0"/>
          <w:szCs w:val="24"/>
        </w:rPr>
        <w:t>2013</w:t>
      </w:r>
      <w:r>
        <w:rPr>
          <w:rFonts w:cs="Times New Roman"/>
          <w:kern w:val="0"/>
          <w:szCs w:val="24"/>
        </w:rPr>
        <w:t>):</w:t>
      </w:r>
      <w:r w:rsidRPr="00D01319">
        <w:rPr>
          <w:rFonts w:cs="Times New Roman"/>
          <w:kern w:val="0"/>
          <w:szCs w:val="24"/>
        </w:rPr>
        <w:t xml:space="preserve"> </w:t>
      </w:r>
      <w:r>
        <w:rPr>
          <w:rFonts w:cs="Times New Roman"/>
          <w:kern w:val="0"/>
          <w:szCs w:val="24"/>
        </w:rPr>
        <w:t>15</w:t>
      </w:r>
      <w:r w:rsidRPr="00D01319">
        <w:rPr>
          <w:rFonts w:cs="Times New Roman"/>
          <w:kern w:val="0"/>
          <w:szCs w:val="24"/>
        </w:rPr>
        <w:t>.</w:t>
      </w:r>
      <w:r>
        <w:fldChar w:fldCharType="end"/>
      </w:r>
    </w:p>
  </w:footnote>
  <w:footnote w:id="11">
    <w:p w14:paraId="0A4418BD" w14:textId="5F73765B" w:rsidR="00300324" w:rsidRDefault="00300324">
      <w:pPr>
        <w:pStyle w:val="FootnoteText"/>
      </w:pPr>
      <w:r>
        <w:rPr>
          <w:rStyle w:val="FootnoteReference"/>
        </w:rPr>
        <w:footnoteRef/>
      </w:r>
      <w:r>
        <w:t xml:space="preserve"> </w:t>
      </w:r>
      <w:r>
        <w:fldChar w:fldCharType="begin"/>
      </w:r>
      <w:r>
        <w:instrText xml:space="preserve"> ADDIN ZOTERO_ITEM CSL_CITATION {"citationID":"K0wFpeXX","properties":{"formattedCitation":"Carlos Iv\\uc0\\u225{}n Degregori et al., {\\i{}How Difficult It Is to Be God: Shining Path\\uc0\\u8217{}s Politics of War in Peru, 1980-1999}, Critical Human Rights Ser (Wisconsin: University of Wisconsin Press, 2012).","plainCitation":"Carlos Iván Degregori et al., How Difficult It Is to Be God: Shining Path’s Politics of War in Peru, 1980-1999, Critical Human Rights Ser (Wisconsin: University of Wisconsin Press, 2012).","noteIndex":11},"citationItems":[{"id":881,"uris":["http://zotero.org/users/local/AUSBwQ2L/items/C5ZE5APZ","http://zotero.org/users/12431208/items/C5ZE5APZ"],"itemData":{"id":881,"type":"book","abstract":"Intro -- Contents -- List of Illustrations -- Translators' Preface -- Acknowledgments -- List of Abbreviations -- Introduction. Beyond Orientalismin Twentieth-Century Peru: Carlos Iván Degregori and the Shining Path War -- Part 1: The War That Surprised Us: Why Shining Path Happened -- 1. The Years We Lived in Danger: The Armed Conflict, 1980-1999 -- 2. How Social Sciences Failed? On the Trail of Shining Path, an Elusive Object of Study -- 3. The Maturation of a Cosmocrat and the Construction of a Community of Discourse -- 4. Revolution by Handbook: The Expansion of Marxism-Leninism in the Social Sciences and the Origins of Shining Path -- Part 2: Harvesting Storms: Why Shining Path Failed -- 5. Youth, Peasants, and Political Violence: Ayacucho, 1980-1983 -- 6. Harvesting Storms: Peasant Rondas and the Defeat of Shining Path in Ayacucho -- 7. How Difficult It Is to Be God: Ideology and Political Violence in Shining Path -- Epilogue. Open Wounds and Elusive Rights: Reflections on the Truth and Reconciliation Commission -- Notes -- References -- Index","collection-title":"Critical Human Rights Ser","event-place":"Wisconsin","ISBN":"978-0-299-28924-9","language":"en","number-of-pages":"1","publisher":"University of Wisconsin Press","publisher-place":"Wisconsin","source":"K10plus ISBN","title":"How Difficult It Is to Be God: Shining Path's Politics of War in Peru, 1980-1999","title-short":"How Difficult It Is to Be God","author":[{"family":"Degregori","given":"Carlos Iván"},{"family":"Appelbaum","given":"Nancy P."},{"family":"Stern","given":"Steve J."},{"family":"Drzewie","given":"Joanna"},{"family":"Hershberg","given":"Eric"}],"issued":{"date-parts":[["2012"]]}}}],"schema":"https://github.com/citation-style-language/schema/raw/master/csl-citation.json"} </w:instrText>
      </w:r>
      <w:r>
        <w:fldChar w:fldCharType="separate"/>
      </w:r>
      <w:bookmarkStart w:id="2" w:name="_Hlk185954923"/>
      <w:r w:rsidRPr="009359E7">
        <w:rPr>
          <w:rFonts w:cs="Times New Roman"/>
          <w:kern w:val="0"/>
          <w:szCs w:val="24"/>
        </w:rPr>
        <w:t xml:space="preserve">Carlos Iván Degregori et al., </w:t>
      </w:r>
      <w:r w:rsidRPr="009359E7">
        <w:rPr>
          <w:rFonts w:cs="Times New Roman"/>
          <w:i/>
          <w:iCs/>
          <w:kern w:val="0"/>
          <w:szCs w:val="24"/>
        </w:rPr>
        <w:t>How Difficult It Is to Be God: Shining Path’s Politics of War in Peru, 1980-1999</w:t>
      </w:r>
      <w:r w:rsidRPr="009359E7">
        <w:rPr>
          <w:rFonts w:cs="Times New Roman"/>
          <w:kern w:val="0"/>
          <w:szCs w:val="24"/>
        </w:rPr>
        <w:t>,</w:t>
      </w:r>
      <w:bookmarkEnd w:id="2"/>
      <w:r w:rsidRPr="009359E7">
        <w:rPr>
          <w:rFonts w:cs="Times New Roman"/>
          <w:kern w:val="0"/>
          <w:szCs w:val="24"/>
        </w:rPr>
        <w:t xml:space="preserve"> Critical Human Rights Ser (Wisconsin: University of Wisconsin Press, 2012).</w:t>
      </w:r>
      <w:r>
        <w:fldChar w:fldCharType="end"/>
      </w:r>
    </w:p>
  </w:footnote>
  <w:footnote w:id="12">
    <w:p w14:paraId="49E88F18" w14:textId="51E16442" w:rsidR="00300324" w:rsidRDefault="00300324">
      <w:pPr>
        <w:pStyle w:val="FootnoteText"/>
      </w:pPr>
      <w:r>
        <w:rPr>
          <w:rStyle w:val="FootnoteReference"/>
        </w:rPr>
        <w:footnoteRef/>
      </w:r>
      <w:r>
        <w:t xml:space="preserve"> </w:t>
      </w:r>
      <w:r>
        <w:fldChar w:fldCharType="begin"/>
      </w:r>
      <w:r>
        <w:instrText xml:space="preserve"> ADDIN ZOTERO_ITEM CSL_CITATION {"citationID":"WQbY7iSz","properties":{"formattedCitation":"Melissa J. Salyk-Virk, \\uc0\\u8220{}Building Community Resilience? Community Perspectives of the Countering Violent Extremism Pilot Program in Minneapolis/St. Paul,\\uc0\\u8221{} {\\i{}Studies in Conflict &amp; Terrorism} 43, no. 11 (November 1, 2020): 1011\\uc0\\u8211{}42, https://doi.org/10.1080/1057610X.2018.1514054.","plainCitation":"Melissa J. Salyk-Virk, “Building Community Resilience? Community Perspectives of the Countering Violent Extremism Pilot Program in Minneapolis/St. Paul,” Studies in Conflict &amp; Terrorism 43, no. 11 (November 1, 2020): 1011–42, https://doi.org/10.1080/1057610X.2018.1514054.","noteIndex":12},"citationItems":[{"id":1217,"uris":["http://zotero.org/users/12431208/items/3NHUFHAT"],"itemData":{"id":1217,"type":"article-journal","abstract":"In August 2011, international recruitment to terrorist groups became a growing concern for the United States. The Obama administration started a public–private partnership pilot program focused on countering violent extremism (CVE) in the United States. This program was the first of its kind. It directly addressed the administration’s concern about domestic violent extremism and radicalization in the United States. The Twin Cities’ program, Building Community Resilience, focused primarily on prevention of radicalization through a community and government partnership. This article analyzes tensions between government-sanctioned CVE approaches and the communities where programs are implemented. Until now, research and analysis have not been performed on this specific program from a community perspective.","container-title":"Studies in Conflict &amp; Terrorism","DOI":"10.1080/1057610X.2018.1514054","ISSN":"1057-610X, 1521-0731","issue":"11","journalAbbreviation":"Studies in Conflict &amp; Terrorism","language":"en","page":"1011-1042","source":"DOI.org (Crossref)","title":"Building Community Resilience? Community Perspectives of the Countering Violent Extremism Pilot Program in Minneapolis/St. Paul","title-short":"Building Community Resilience?","volume":"43","author":[{"family":"Salyk-Virk","given":"Melissa J."}],"issued":{"date-parts":[["2020",11,1]]}}}],"schema":"https://github.com/citation-style-language/schema/raw/master/csl-citation.json"} </w:instrText>
      </w:r>
      <w:r>
        <w:fldChar w:fldCharType="separate"/>
      </w:r>
      <w:r w:rsidRPr="00300324">
        <w:rPr>
          <w:rFonts w:cs="Times New Roman"/>
          <w:kern w:val="0"/>
        </w:rPr>
        <w:t xml:space="preserve">Melissa J. Salyk-Virk, “Building Community Resilience? Community Perspectives of the Countering Violent Extremism Pilot Program in Minneapolis/St. Paul,” </w:t>
      </w:r>
      <w:r w:rsidRPr="00300324">
        <w:rPr>
          <w:rFonts w:cs="Times New Roman"/>
          <w:i/>
          <w:iCs/>
          <w:kern w:val="0"/>
        </w:rPr>
        <w:t>Studies in Conflict &amp; Terrorism</w:t>
      </w:r>
      <w:r w:rsidRPr="00300324">
        <w:rPr>
          <w:rFonts w:cs="Times New Roman"/>
          <w:kern w:val="0"/>
        </w:rPr>
        <w:t xml:space="preserve"> 43, no. 11 (November 1, 2020): 101</w:t>
      </w:r>
      <w:r w:rsidR="00257F26">
        <w:rPr>
          <w:rFonts w:cs="Times New Roman"/>
          <w:kern w:val="0"/>
        </w:rPr>
        <w:t>1</w:t>
      </w:r>
      <w:r w:rsidRPr="00300324">
        <w:rPr>
          <w:rFonts w:cs="Times New Roman"/>
          <w:kern w:val="0"/>
        </w:rPr>
        <w:t>, https://doi.org/10.1080/1057610X.2018.1514054.</w:t>
      </w:r>
      <w:r>
        <w:fldChar w:fldCharType="end"/>
      </w:r>
    </w:p>
  </w:footnote>
  <w:footnote w:id="13">
    <w:p w14:paraId="6F7F72D6" w14:textId="49F94EE8" w:rsidR="00737EB0" w:rsidRDefault="00737EB0">
      <w:pPr>
        <w:pStyle w:val="FootnoteText"/>
      </w:pPr>
      <w:r>
        <w:rPr>
          <w:rStyle w:val="FootnoteReference"/>
        </w:rPr>
        <w:footnoteRef/>
      </w:r>
      <w:r>
        <w:t xml:space="preserve"> Virk, “Building Community Resilience,” 1018.</w:t>
      </w:r>
    </w:p>
  </w:footnote>
  <w:footnote w:id="14">
    <w:p w14:paraId="74908C0C" w14:textId="3D463C99" w:rsidR="00737EB0" w:rsidRDefault="00737EB0">
      <w:pPr>
        <w:pStyle w:val="FootnoteText"/>
      </w:pPr>
      <w:r>
        <w:rPr>
          <w:rStyle w:val="FootnoteReference"/>
        </w:rPr>
        <w:footnoteRef/>
      </w:r>
      <w:r>
        <w:t xml:space="preserve"> </w:t>
      </w:r>
      <w:r>
        <w:t xml:space="preserve">Anna Halafoff, </w:t>
      </w:r>
      <w:bookmarkStart w:id="3" w:name="_Hlk185955343"/>
      <w:r>
        <w:t>‘Building Community Resilience’</w:t>
      </w:r>
      <w:bookmarkEnd w:id="3"/>
      <w:r>
        <w:t xml:space="preserve">, Chapter 11, 182-192, In </w:t>
      </w:r>
      <w:r>
        <w:fldChar w:fldCharType="begin"/>
      </w:r>
      <w:r w:rsidR="00B44CC4">
        <w:instrText xml:space="preserve"> ADDIN ZOTERO_ITEM CSL_CITATION {"citationID":"Wj8UNHfm","properties":{"formattedCitation":"Rohan Gunaratna, Jolene Jerard, and Salim Mohamed Nasir, eds., {\\i{}Countering Extremism: Building Social Resilience through Community Engagement}, Imperial College Press Insurgency and Terrorism Series, v. 1 (London\\uc0\\u8239{}: Hackensack, NJ: Imperial College Press\\uc0\\u8239{}; Distributed by World Scientific Publishing Co, 2013).","plainCitation":"Rohan Gunaratna, Jolene Jerard, and Salim Mohamed Nasir, eds., Countering Extremism: Building Social Resilience through Community Engagement, Imperial College Press Insurgency and Terrorism Series, v. 1 (London : Hackensack, NJ: Imperial College Press ; Distributed by World Scientific Publishing Co, 2013).","dontUpdate":true,"noteIndex":14},"citationItems":[{"id":41,"uris":["http://zotero.org/users/12431208/items/5DWYIGPA"],"itemData":{"id":41,"type":"book","abstract":"\"This unique work is the first to address the subject of community engagement strategies in countering extremism, and explores the development and research of these strategies. In so doing it demystifies the process of community engagement, while simultaneously extolling the virtues of the ground breaking strategies to have been effectively employed in Asia, the Middle East, and the West. The book then proceeds to examine the efforts of community engagement made by several countries against their unique operational and geopolitical environments. Finally, detailed reference is made to the role and work of the media and non-government organizations to have conducted effective community engagement efforts. With contributions from authors of diverse backgrounds, including media, the social services, security, and academia, this book will be of interest to both the general public and to researchers. \"--Publisher's website","call-number":"HN49.R33 C686 2013","collection-number":"v. 1","collection-title":"Imperial College Press insurgency and terrorism series","event-place":"London : Hackensack, NJ","ISBN":"978-1-908977-52-6","language":"en","note":"OCLC: ocn825047759","number-of-pages":"209","publisher":"Imperial College Press ; Distributed by World Scientific Publishing Co","publisher-place":"London : Hackensack, NJ","source":"Library of Congress ISBN","title":"Countering extremism: building social resilience through community engagement","title-short":"Countering extremism","editor":[{"family":"Gunaratna","given":"Rohan"},{"family":"Jerard","given":"Jolene"},{"family":"Nasir","given":"Salim Mohamed"}],"issued":{"date-parts":[["2013"]]}}}],"schema":"https://github.com/citation-style-language/schema/raw/master/csl-citation.json"} </w:instrText>
      </w:r>
      <w:r>
        <w:fldChar w:fldCharType="separate"/>
      </w:r>
      <w:r w:rsidRPr="008C023F">
        <w:rPr>
          <w:rFonts w:cs="Times New Roman"/>
          <w:kern w:val="0"/>
          <w:szCs w:val="24"/>
        </w:rPr>
        <w:t xml:space="preserve">Rohan Gunaratna, Jolene Jerard, and Salim Mohamed Nasir, eds., </w:t>
      </w:r>
      <w:r w:rsidRPr="008C023F">
        <w:rPr>
          <w:rFonts w:cs="Times New Roman"/>
          <w:i/>
          <w:iCs/>
          <w:kern w:val="0"/>
          <w:szCs w:val="24"/>
        </w:rPr>
        <w:t>Countering Extremism: Building Social Resilience through Community Engagement</w:t>
      </w:r>
      <w:r w:rsidRPr="008C023F">
        <w:rPr>
          <w:rFonts w:cs="Times New Roman"/>
          <w:kern w:val="0"/>
          <w:szCs w:val="24"/>
        </w:rPr>
        <w:t>, Imperial College Press Insurgency and Terrorism Series, v. 1 (London : Hackensack, NJ: Imperial College Press, 2013).</w:t>
      </w:r>
      <w:r>
        <w:fldChar w:fldCharType="end"/>
      </w:r>
    </w:p>
  </w:footnote>
  <w:footnote w:id="15">
    <w:p w14:paraId="63B888D3" w14:textId="339D86D3" w:rsidR="00737EB0" w:rsidRDefault="00737EB0">
      <w:pPr>
        <w:pStyle w:val="FootnoteText"/>
      </w:pPr>
      <w:r>
        <w:rPr>
          <w:rStyle w:val="FootnoteReference"/>
        </w:rPr>
        <w:footnoteRef/>
      </w:r>
      <w:r>
        <w:t xml:space="preserve"> Halafoff, “Building Community Resilience,” 186.</w:t>
      </w:r>
    </w:p>
  </w:footnote>
  <w:footnote w:id="16">
    <w:p w14:paraId="426DE24D" w14:textId="6FB90554" w:rsidR="00737EB0" w:rsidRDefault="00737EB0">
      <w:pPr>
        <w:pStyle w:val="FootnoteText"/>
      </w:pPr>
      <w:r>
        <w:rPr>
          <w:rStyle w:val="FootnoteReference"/>
        </w:rPr>
        <w:footnoteRef/>
      </w:r>
      <w:r>
        <w:t xml:space="preserve"> </w:t>
      </w:r>
      <w:r>
        <w:rPr>
          <w:rFonts w:cs="Times New Roman"/>
          <w:kern w:val="0"/>
          <w:szCs w:val="24"/>
        </w:rPr>
        <w:t>Aziz</w:t>
      </w:r>
      <w:r w:rsidRPr="005E007E">
        <w:rPr>
          <w:rFonts w:cs="Times New Roman"/>
          <w:kern w:val="0"/>
          <w:szCs w:val="24"/>
        </w:rPr>
        <w:t xml:space="preserve"> Z. Huq, Tom R. Tyler, and Stephen J. </w:t>
      </w:r>
      <w:proofErr w:type="spellStart"/>
      <w:r w:rsidRPr="005E007E">
        <w:rPr>
          <w:rFonts w:cs="Times New Roman"/>
          <w:kern w:val="0"/>
          <w:szCs w:val="24"/>
        </w:rPr>
        <w:t>Schulhofer</w:t>
      </w:r>
      <w:proofErr w:type="spellEnd"/>
      <w:r w:rsidRPr="005E007E">
        <w:rPr>
          <w:rFonts w:cs="Times New Roman"/>
          <w:kern w:val="0"/>
          <w:szCs w:val="24"/>
        </w:rPr>
        <w:t>, ‘</w:t>
      </w:r>
      <w:bookmarkStart w:id="4" w:name="_Hlk185955413"/>
      <w:r w:rsidRPr="005E007E">
        <w:rPr>
          <w:rFonts w:cs="Times New Roman"/>
          <w:kern w:val="0"/>
          <w:szCs w:val="24"/>
        </w:rPr>
        <w:t>Why Does the Public Cooperate with Law Enforcement? The Influence of the Purposes and Targets of Policing.</w:t>
      </w:r>
      <w:bookmarkEnd w:id="4"/>
      <w:r w:rsidRPr="005E007E">
        <w:rPr>
          <w:rFonts w:cs="Times New Roman"/>
          <w:kern w:val="0"/>
          <w:szCs w:val="24"/>
        </w:rPr>
        <w:t xml:space="preserve">’, </w:t>
      </w:r>
      <w:r w:rsidRPr="005E007E">
        <w:rPr>
          <w:rFonts w:cs="Times New Roman"/>
          <w:i/>
          <w:iCs/>
          <w:kern w:val="0"/>
          <w:szCs w:val="24"/>
        </w:rPr>
        <w:t>Psychology, Public Policy, and Law</w:t>
      </w:r>
      <w:r w:rsidRPr="005E007E">
        <w:rPr>
          <w:rFonts w:cs="Times New Roman"/>
          <w:kern w:val="0"/>
          <w:szCs w:val="24"/>
        </w:rPr>
        <w:t xml:space="preserve"> 17, no. 3 (2011): 4</w:t>
      </w:r>
      <w:r>
        <w:rPr>
          <w:rFonts w:cs="Times New Roman"/>
          <w:kern w:val="0"/>
          <w:szCs w:val="24"/>
        </w:rPr>
        <w:t>30</w:t>
      </w:r>
      <w:r w:rsidRPr="005E007E">
        <w:rPr>
          <w:rFonts w:cs="Times New Roman"/>
          <w:kern w:val="0"/>
          <w:szCs w:val="24"/>
        </w:rPr>
        <w:t>.</w:t>
      </w:r>
    </w:p>
  </w:footnote>
  <w:footnote w:id="17">
    <w:p w14:paraId="17E18CDE" w14:textId="7975D077" w:rsidR="00B44CC4" w:rsidRDefault="00B44CC4">
      <w:pPr>
        <w:pStyle w:val="FootnoteText"/>
      </w:pPr>
      <w:r>
        <w:rPr>
          <w:rStyle w:val="FootnoteReference"/>
        </w:rPr>
        <w:footnoteRef/>
      </w:r>
      <w:r>
        <w:t xml:space="preserve"> </w:t>
      </w:r>
      <w:r>
        <w:fldChar w:fldCharType="begin"/>
      </w:r>
      <w:r>
        <w:instrText xml:space="preserve"> ADDIN ZOTERO_ITEM CSL_CITATION {"citationID":"VlEFTcXL","properties":{"formattedCitation":"Helen Heath and Sarah Cowley, \\uc0\\u8220{}Developing a Grounded Theory Approach: A Comparison of Glaser and Strauss,\\uc0\\u8221{} {\\i{}International Journal of Nursing Studies} 41, no. 2 (February 2004): 141\\uc0\\u8211{}50, https://doi.org/10.1016/S0020-7489(03)00113-5.","plainCitation":"Helen Heath and Sarah Cowley, “Developing a Grounded Theory Approach: A Comparison of Glaser and Strauss,” International Journal of Nursing Studies 41, no. 2 (February 2004): 141–50, https://doi.org/10.1016/S0020-7489(03)00113-5.","noteIndex":17},"citationItems":[{"id":4295,"uris":["http://zotero.org/users/12431208/items/MSYK26C3"],"itemData":{"id":4295,"type":"article-journal","abstract":"Novice qualitative researchers are often unsure regarding the analysis of their data and, where grounded theory is chosen, they may be uncertain regarding the differences that now exist between the approaches of Glaser and Strauss, who together ﬁrst described the method. These two approaches are compared in relation to roots and divergences, role of induction, deduction and veriﬁcation, ways in which data are coded and the format of generated theory. Personal experience of developing as a ground theorist is used to illustrate some of the key differences. A conclusion is drawn that, rather than debate relative merits of the two approaches, suggests that novice researchers need to select the method that best suits their cognitive style and develop analytic skills through doing research.","container-title":"International Journal of Nursing Studies","DOI":"10.1016/S0020-7489(03)00113-5","ISSN":"00207489","issue":"2","journalAbbreviation":"International Journal of Nursing Studies","language":"en","license":"https://www.elsevier.com/tdm/userlicense/1.0/","page":"141-150","source":"DOI.org (Crossref)","title":"Developing a grounded theory approach: a comparison of Glaser and Strauss","title-short":"Developing a grounded theory approach","volume":"41","author":[{"family":"Heath","given":"Helen"},{"family":"Cowley","given":"Sarah"}],"issued":{"date-parts":[["2004",2]]}}}],"schema":"https://github.com/citation-style-language/schema/raw/master/csl-citation.json"} </w:instrText>
      </w:r>
      <w:r>
        <w:fldChar w:fldCharType="separate"/>
      </w:r>
      <w:r w:rsidRPr="00B44CC4">
        <w:rPr>
          <w:rFonts w:cs="Times New Roman"/>
          <w:kern w:val="0"/>
        </w:rPr>
        <w:t xml:space="preserve">Helen Heath and Sarah Cowley, “Developing a Grounded Theory Approach: A Comparison of Glaser and Strauss,” </w:t>
      </w:r>
      <w:r w:rsidRPr="00B44CC4">
        <w:rPr>
          <w:rFonts w:cs="Times New Roman"/>
          <w:i/>
          <w:iCs/>
          <w:kern w:val="0"/>
        </w:rPr>
        <w:t>International Journal of Nursing Studies</w:t>
      </w:r>
      <w:r w:rsidRPr="00B44CC4">
        <w:rPr>
          <w:rFonts w:cs="Times New Roman"/>
          <w:kern w:val="0"/>
        </w:rPr>
        <w:t xml:space="preserve"> 41, no. 2 (February 2004): 14</w:t>
      </w:r>
      <w:r w:rsidR="00257F26">
        <w:rPr>
          <w:rFonts w:cs="Times New Roman"/>
          <w:kern w:val="0"/>
        </w:rPr>
        <w:t>2</w:t>
      </w:r>
      <w:r w:rsidRPr="00B44CC4">
        <w:rPr>
          <w:rFonts w:cs="Times New Roman"/>
          <w:kern w:val="0"/>
        </w:rPr>
        <w:t>, https://doi.org/10.1016/S0020-7489(03)00113-5.</w:t>
      </w:r>
      <w:r>
        <w:fldChar w:fldCharType="end"/>
      </w:r>
    </w:p>
  </w:footnote>
  <w:footnote w:id="18">
    <w:p w14:paraId="7FB2F7F0" w14:textId="3A77319C" w:rsidR="00B44CC4" w:rsidRDefault="00B44CC4">
      <w:pPr>
        <w:pStyle w:val="FootnoteText"/>
      </w:pPr>
      <w:r>
        <w:rPr>
          <w:rStyle w:val="FootnoteReference"/>
        </w:rPr>
        <w:footnoteRef/>
      </w:r>
      <w:r>
        <w:t xml:space="preserve"> </w:t>
      </w:r>
      <w:r>
        <w:fldChar w:fldCharType="begin"/>
      </w:r>
      <w:r>
        <w:instrText xml:space="preserve"> ADDIN ZOTERO_ITEM CSL_CITATION {"citationID":"kKsXJ0Lf","properties":{"formattedCitation":"Virginia Braun and Victoria Clarke, \\uc0\\u8220{}Using Thematic Analysis in Psychology,\\uc0\\u8221{} {\\i{}Qualitative Research in Psychology} 3, no. 2 (January 2006): 77\\uc0\\u8211{}101, https://doi.org/10.1191/1478088706qp063oa.","plainCitation":"Virginia Braun and Victoria Clarke, “Using Thematic Analysis in Psychology,” Qualitative Research in Psychology 3, no. 2 (January 2006): 77–101, https://doi.org/10.1191/1478088706qp063oa.","noteIndex":18},"citationItems":[{"id":2681,"uris":["http://zotero.org/users/12431208/items/G2M6YRTA"],"itemData":{"id":2681,"type":"article-journal","container-title":"Qualitative Research in Psychology","DOI":"10.1191/1478088706qp063oa","ISSN":"1478-0887, 1478-0895","issue":"2","journalAbbreviation":"Qualitative Research in Psychology","language":"en","page":"77-101","source":"DOI.org (Crossref)","title":"Using thematic analysis in psychology","volume":"3","author":[{"family":"Braun","given":"Virginia"},{"family":"Clarke","given":"Victoria"}],"issued":{"date-parts":[["2006",1]]}}}],"schema":"https://github.com/citation-style-language/schema/raw/master/csl-citation.json"} </w:instrText>
      </w:r>
      <w:r>
        <w:fldChar w:fldCharType="separate"/>
      </w:r>
      <w:r w:rsidRPr="00B44CC4">
        <w:rPr>
          <w:rFonts w:cs="Times New Roman"/>
          <w:kern w:val="0"/>
        </w:rPr>
        <w:t xml:space="preserve">Virginia Braun and Victoria Clarke, “Using Thematic Analysis in Psychology,” </w:t>
      </w:r>
      <w:r w:rsidRPr="00B44CC4">
        <w:rPr>
          <w:rFonts w:cs="Times New Roman"/>
          <w:i/>
          <w:iCs/>
          <w:kern w:val="0"/>
        </w:rPr>
        <w:t>Qualitative Research in Psychology</w:t>
      </w:r>
      <w:r w:rsidRPr="00B44CC4">
        <w:rPr>
          <w:rFonts w:cs="Times New Roman"/>
          <w:kern w:val="0"/>
        </w:rPr>
        <w:t xml:space="preserve"> 3, no. 2 (January 2006): 77–101, https://doi.org/10.1191/1478088706qp063oa.</w:t>
      </w:r>
      <w:r>
        <w:fldChar w:fldCharType="end"/>
      </w:r>
    </w:p>
  </w:footnote>
  <w:footnote w:id="19">
    <w:p w14:paraId="3B8EC321" w14:textId="06AE026E" w:rsidR="00E811AA" w:rsidRDefault="00E811AA">
      <w:pPr>
        <w:pStyle w:val="FootnoteText"/>
      </w:pPr>
      <w:r>
        <w:rPr>
          <w:rStyle w:val="FootnoteReference"/>
        </w:rPr>
        <w:footnoteRef/>
      </w:r>
      <w:r>
        <w:t xml:space="preserve"> </w:t>
      </w:r>
      <w:r>
        <w:fldChar w:fldCharType="begin"/>
      </w:r>
      <w:r>
        <w:instrText xml:space="preserve"> ADDIN ZOTERO_ITEM CSL_CITATION {"citationID":"immzMqFc","properties":{"formattedCitation":"Sana Bashir et al., \\uc0\\u8220{}Impact of Terrorism on Economic Development of South Asian Economies,\\uc0\\u8221{} in {\\i{}Proceedings of the Sixteenth International Conference on Management Science and Engineering Management \\uc0\\u8211{} Volume 2}, ed. Jiuping Xu et al., vol. 145, Lecture Notes on Data Engineering and Communications Technologies (Cham: Springer International Publishing, 2022), 536\\uc0\\u8211{}51, https://doi.org/10.1007/978-3-031-10385-8_38.","plainCitation":"Sana Bashir et al., “Impact of Terrorism on Economic Development of South Asian Economies,” in Proceedings of the Sixteenth International Conference on Management Science and Engineering Management – Volume 2, ed. Jiuping Xu et al., vol. 145, Lecture Notes on Data Engineering and Communications Technologies (Cham: Springer International Publishing, 2022), 536–51, https://doi.org/10.1007/978-3-031-10385-8_38.","noteIndex":19},"citationItems":[{"id":4467,"uris":["http://zotero.org/users/12431208/items/M7MQX2GX"],"itemData":{"id":4467,"type":"chapter","container-title":"Proceedings of the Sixteenth International Conference on Management Science and Engineering Management – Volume 2","event-place":"Cham","ISBN":"978-3-031-10384-1","language":"en","note":"collection-title: Lecture Notes on Data Engineering and Communications Technologies\nDOI: 10.1007/978-3-031-10385-8_38","page":"536-551","publisher":"Springer International Publishing","publisher-place":"Cham","source":"DOI.org (Crossref)","title":"Impact of Terrorism on Economic Development of South Asian Economies","URL":"https://link.springer.com/10.1007/978-3-031-10385-8_38","volume":"145","editor":[{"family":"Xu","given":"Jiuping"},{"family":"Altiparmak","given":"Fulya"},{"family":"Hassan","given":"Mohamed Hag Ali"},{"family":"García Márquez","given":"Fausto Pedro"},{"family":"Hajiyev","given":"Asaf"}],"author":[{"family":"Bashir","given":"Sana"},{"family":"Zafar","given":"Muhammad Wasif"},{"family":"Talib","given":"Mirza Nouman Ali"},{"family":"Nawaz","given":"Zubair"},{"family":"Fatima","given":"Mahrukh"}],"accessed":{"date-parts":[["2025",2,28]]},"issued":{"date-parts":[["2022"]]}}}],"schema":"https://github.com/citation-style-language/schema/raw/master/csl-citation.json"} </w:instrText>
      </w:r>
      <w:r>
        <w:fldChar w:fldCharType="separate"/>
      </w:r>
      <w:r w:rsidRPr="00E811AA">
        <w:rPr>
          <w:rFonts w:cs="Times New Roman"/>
          <w:kern w:val="0"/>
        </w:rPr>
        <w:t xml:space="preserve">Sana Bashir et al., “Impact of Terrorism on Economic Development of South Asian Economies,” in </w:t>
      </w:r>
      <w:r w:rsidRPr="00E811AA">
        <w:rPr>
          <w:rFonts w:cs="Times New Roman"/>
          <w:i/>
          <w:iCs/>
          <w:kern w:val="0"/>
        </w:rPr>
        <w:t>Proceedings of the Sixteenth International Conference on Management Science and Engineering Management – Volume 2</w:t>
      </w:r>
      <w:r w:rsidRPr="00E811AA">
        <w:rPr>
          <w:rFonts w:cs="Times New Roman"/>
          <w:kern w:val="0"/>
        </w:rPr>
        <w:t xml:space="preserve">, ed. </w:t>
      </w:r>
      <w:proofErr w:type="spellStart"/>
      <w:r w:rsidRPr="00E811AA">
        <w:rPr>
          <w:rFonts w:cs="Times New Roman"/>
          <w:kern w:val="0"/>
        </w:rPr>
        <w:t>Jiuping</w:t>
      </w:r>
      <w:proofErr w:type="spellEnd"/>
      <w:r w:rsidRPr="00E811AA">
        <w:rPr>
          <w:rFonts w:cs="Times New Roman"/>
          <w:kern w:val="0"/>
        </w:rPr>
        <w:t xml:space="preserve"> Xu et al., vol. 145, Lecture Notes on Data Engineering and Communications Technologies (Cham: Springer International Publishing, 2022), 536–</w:t>
      </w:r>
      <w:r w:rsidR="00257F26">
        <w:rPr>
          <w:rFonts w:cs="Times New Roman"/>
          <w:kern w:val="0"/>
        </w:rPr>
        <w:t>5</w:t>
      </w:r>
      <w:r w:rsidRPr="00E811AA">
        <w:rPr>
          <w:rFonts w:cs="Times New Roman"/>
          <w:kern w:val="0"/>
        </w:rPr>
        <w:t>51, https://doi.org/10.1007/978-3-031-10385-8_38.</w:t>
      </w:r>
      <w:r>
        <w:fldChar w:fldCharType="end"/>
      </w:r>
    </w:p>
  </w:footnote>
  <w:footnote w:id="20">
    <w:p w14:paraId="541541CA" w14:textId="6F84BC4F" w:rsidR="00E811AA" w:rsidRDefault="00E811AA">
      <w:pPr>
        <w:pStyle w:val="FootnoteText"/>
      </w:pPr>
      <w:r>
        <w:rPr>
          <w:rStyle w:val="FootnoteReference"/>
        </w:rPr>
        <w:footnoteRef/>
      </w:r>
      <w:r>
        <w:t xml:space="preserve"> </w:t>
      </w:r>
      <w:r>
        <w:fldChar w:fldCharType="begin"/>
      </w:r>
      <w:r>
        <w:instrText xml:space="preserve"> ADDIN ZOTERO_ITEM CSL_CITATION {"citationID":"YOsdkhf2","properties":{"formattedCitation":"Sobia Khan, Umar Sohail, and Syed Taimoor Shah, \\uc0\\u8220{}THE VIOLENT TOLL OF KINETIC COUNTERTERRORISM: REVITALIZING NON-KINETIC COUNTERTERRORISM MODEL,\\uc0\\u8221{} {\\i{}ISSRA Papers} 13 (December 31, 2021): 27\\uc0\\u8211{}40, https://doi.org/10.54690/issrap.v13iXIII.103.","plainCitation":"Sobia Khan, Umar Sohail, and Syed Taimoor Shah, “THE VIOLENT TOLL OF KINETIC COUNTERTERRORISM: REVITALIZING NON-KINETIC COUNTERTERRORISM MODEL,” ISSRA Papers 13 (December 31, 2021): 27–40, https://doi.org/10.54690/issrap.v13iXIII.103.","noteIndex":20},"citationItems":[{"id":2478,"uris":["http://zotero.org/users/12431208/items/TV389QH9"],"itemData":{"id":2478,"type":"article-journal","abstract":"The world has been witnessing various waves of terrorism and violent extremism for more than last 2000 years. The modern wave of terrorism has its roots in the post-Cold War era, with rigorous transformation since the incident of 9/11 in 2001. The consequent Global War on Terror, which manifested an unparalleled global kinetic response, has now again instigated a revitalized inquiry into how terrorism and violent extremism ends. This question is in fact twofold. On one hand, it asks the underlying causes to be explored, that result in individuals commencing terrorist activities. On the other hand, this has motivated and stimulated implantation of some innovative ‘soft’ and ‘non-kinetic’ counterterrorism approaches, largely by and in Muslim majority countries. These alternative approaches were then also imported by many Western societies to tackle the challenges left unanswered and even sometimes caused by the kinetic counterterrorism approaches. This paper discusses the violent toll of counterterrorism strategies under the kinetic approach of Global War on Terror and how it has negatively contributed in the management of terrorism and violent extremism. The paper further highlights the global shift from kinetic counterterrorism strategies to non-kinetic approaches while furthering the debate to suggest a successful strategy based on some common factors in the successful counterterrorism approaches around the world.","container-title":"ISSRA Papers","DOI":"10.54690/issrap.v13iXIII.103","ISSN":"2789-7915, 2219-0562","journalAbbreviation":"ISSRAP","language":"en","page":"27-40","source":"DOI.org (Crossref)","title":"THE VIOLENT TOLL OF KINETIC COUNTERTERRORISM: REVITALIZING NON-KINETIC COUNTERTERRORISM MODEL","title-short":"THE VIOLENT TOLL OF KINETIC COUNTERTERRORISM","volume":"13","author":[{"family":"Khan","given":"Sobia"},{"family":"Sohail","given":"Umar"},{"family":"Shah","given":"Syed Taimoor"}],"issued":{"date-parts":[["2021",12,31]]}}}],"schema":"https://github.com/citation-style-language/schema/raw/master/csl-citation.json"} </w:instrText>
      </w:r>
      <w:r>
        <w:fldChar w:fldCharType="separate"/>
      </w:r>
      <w:r w:rsidRPr="00E811AA">
        <w:rPr>
          <w:rFonts w:cs="Times New Roman"/>
          <w:kern w:val="0"/>
        </w:rPr>
        <w:t xml:space="preserve">Sobia Khan, Umar Sohail, and Syed Taimoor Shah, “THE VIOLENT TOLL OF KINETIC COUNTERTERRORISM: REVITALIZING NON-KINETIC COUNTERTERRORISM MODEL,” </w:t>
      </w:r>
      <w:r w:rsidRPr="00E811AA">
        <w:rPr>
          <w:rFonts w:cs="Times New Roman"/>
          <w:i/>
          <w:iCs/>
          <w:kern w:val="0"/>
        </w:rPr>
        <w:t>ISSRA Papers</w:t>
      </w:r>
      <w:r w:rsidRPr="00E811AA">
        <w:rPr>
          <w:rFonts w:cs="Times New Roman"/>
          <w:kern w:val="0"/>
        </w:rPr>
        <w:t xml:space="preserve"> 13 (December 31, 2021): 27–40, https://doi.org/10.54690/issrap.v13iXIII.103.</w:t>
      </w:r>
      <w:r>
        <w:fldChar w:fldCharType="end"/>
      </w:r>
    </w:p>
  </w:footnote>
  <w:footnote w:id="21">
    <w:p w14:paraId="75028967" w14:textId="7ECB1949" w:rsidR="00E811AA" w:rsidRDefault="00E811AA">
      <w:pPr>
        <w:pStyle w:val="FootnoteText"/>
      </w:pPr>
      <w:r>
        <w:rPr>
          <w:rStyle w:val="FootnoteReference"/>
        </w:rPr>
        <w:footnoteRef/>
      </w:r>
      <w:r>
        <w:t xml:space="preserve"> </w:t>
      </w:r>
      <w:r>
        <w:fldChar w:fldCharType="begin"/>
      </w:r>
      <w:r>
        <w:instrText xml:space="preserve"> ADDIN ZOTERO_ITEM CSL_CITATION {"citationID":"QBqvAWkN","properties":{"formattedCitation":"Dr Khurram Iqbal, \\uc0\\u8220{}PAKISTAN\\uc0\\u8217{}S NON-KINETIC RESPONSES TO VIOLENT EXTREMISM,\\uc0\\u8221{} n.d.","plainCitation":"Dr Khurram Iqbal, “PAKISTAN’S NON-KINETIC RESPONSES TO VIOLENT EXTREMISM,” n.d.","noteIndex":21},"citationItems":[{"id":60,"uris":["http://zotero.org/users/12431208/items/KCGUQ75Z"],"itemData":{"id":60,"type":"article-journal","abstract":"Pakistan’s Counter-Terrorism mix represents a fine combination of kinetic and nonkinetic means. Besides the use of military, intelligence and police force, the state has also employed de-radicalization, rehabilitation and counter-narrative campaigns to counter extremism in its violent and non-violent manifestations. But a significant decline in accumulative number of terrorist incidents from 2014 onward has led the authorities to slash efforts and resources on soft counter-terrorism front. Using “Three Levels of Analysis” this paper seeks to provide a brief overview of the soft measures adopted by Pakistan during last two decades of its counter-terrorism campaign and argues that quantitative decline in the incidents of terrorism from 2014 onwards must not lead to counter-terror triumphalism. Terrorism in Pakistan has certainly declined but extremism persists, with certain new characteristics. To respond to these challenges there is a strong need to sustain the non-kinetic Counter Terrorism (CT) initiatives through institutionalized arrangements.","language":"en","source":"Zotero","title":"PAKISTAN’S NON-KINETIC RESPONSES TO VIOLENT EXTREMISM","author":[{"family":"Iqbal","given":"Dr Khurram"}]}}],"schema":"https://github.com/citation-style-language/schema/raw/master/csl-citation.json"} </w:instrText>
      </w:r>
      <w:r>
        <w:fldChar w:fldCharType="separate"/>
      </w:r>
      <w:r w:rsidRPr="00257F26">
        <w:rPr>
          <w:rFonts w:cs="Times New Roman"/>
          <w:i/>
          <w:iCs/>
          <w:kern w:val="0"/>
        </w:rPr>
        <w:t xml:space="preserve">Dr Khurram Iqbal, “PAKISTAN’S NON-KINETIC RESPONSES TO VIOLENT EXTREMISM,” </w:t>
      </w:r>
      <w:r w:rsidR="00257F26" w:rsidRPr="00257F26">
        <w:rPr>
          <w:rFonts w:cs="Times New Roman"/>
          <w:i/>
          <w:iCs/>
          <w:kern w:val="0"/>
        </w:rPr>
        <w:t>Strategic Thought</w:t>
      </w:r>
      <w:r w:rsidR="00257F26">
        <w:rPr>
          <w:rFonts w:cs="Times New Roman"/>
          <w:kern w:val="0"/>
        </w:rPr>
        <w:t>, n.d. (2021):160</w:t>
      </w:r>
      <w:r w:rsidRPr="00E811AA">
        <w:rPr>
          <w:rFonts w:cs="Times New Roman"/>
          <w:kern w:val="0"/>
        </w:rPr>
        <w:t>.</w:t>
      </w:r>
      <w:r>
        <w:fldChar w:fldCharType="end"/>
      </w:r>
    </w:p>
  </w:footnote>
  <w:footnote w:id="22">
    <w:p w14:paraId="71165091" w14:textId="5C771F54" w:rsidR="00E811AA" w:rsidRDefault="00E811AA">
      <w:pPr>
        <w:pStyle w:val="FootnoteText"/>
      </w:pPr>
      <w:r>
        <w:rPr>
          <w:rStyle w:val="FootnoteReference"/>
        </w:rPr>
        <w:footnoteRef/>
      </w:r>
      <w:r>
        <w:t xml:space="preserve"> </w:t>
      </w:r>
      <w:r>
        <w:fldChar w:fldCharType="begin"/>
      </w:r>
      <w:r>
        <w:instrText xml:space="preserve"> ADDIN ZOTERO_ITEM CSL_CITATION {"citationID":"LCnLUQDV","properties":{"formattedCitation":"Sheharyar Khan, \\uc0\\u8220{}Disengagement and Deradicalization Programs in Pakistan: A Comparative Analysis\\uc0\\u8221{} 03, no. 2 (n.d.).","plainCitation":"Sheharyar Khan, “Disengagement and Deradicalization Programs in Pakistan: A Comparative Analysis” 03, no. 2 (n.d.).","noteIndex":22},"citationItems":[{"id":2484,"uris":["http://zotero.org/users/12431208/items/DVBLSQF8"],"itemData":{"id":2484,"type":"article-journal","abstract":"In the recent past, countries have used different models and programs to persuade extremists to give up their extremist views, or at least, embark on the route of violence. In the course of the last ten years, the arena of peacebuilding has witnessed an expanded understanding of the drivers of violent extremism (VE). Research has demonstrated that there are a variety of factors at play, mainly grievances at the state society level, human rights abuses, perceptions of social and economic marginalization or deprivation, lack of access to justice, sense of purpose in life have shown to be motivating factors that push an individual towards the path of extremist violence. Many countries are undertaking disengagement and deradicalization programs to prevent and counter violent extremism and rehabilitate former extremists and other offenders back into society. Many of such programs are undertaken in detention centres, which makes an independent assessment of these projects difficult.","issue":"2","language":"en","source":"Zotero","title":"Disengagement and Deradicalization Programs in Pakistan: A Comparative Analysis","volume":"03","author":[{"family":"Khan","given":"Sheharyar"}]}}],"schema":"https://github.com/citation-style-language/schema/raw/master/csl-citation.json"} </w:instrText>
      </w:r>
      <w:r>
        <w:fldChar w:fldCharType="separate"/>
      </w:r>
      <w:r w:rsidRPr="00E811AA">
        <w:rPr>
          <w:rFonts w:cs="Times New Roman"/>
          <w:kern w:val="0"/>
        </w:rPr>
        <w:t>Sheharyar Khan, “Disengagement and Deradicalization Programs in Pakistan: A Comparative Analysis</w:t>
      </w:r>
      <w:r w:rsidR="00257F26">
        <w:rPr>
          <w:rFonts w:cs="Times New Roman"/>
          <w:kern w:val="0"/>
        </w:rPr>
        <w:t xml:space="preserve">," </w:t>
      </w:r>
      <w:r w:rsidR="00257F26" w:rsidRPr="00257F26">
        <w:rPr>
          <w:rFonts w:cs="Times New Roman"/>
          <w:i/>
          <w:iCs/>
          <w:kern w:val="0"/>
        </w:rPr>
        <w:t>Pakistan Journal of Terrorism Research</w:t>
      </w:r>
      <w:r w:rsidR="00257F26">
        <w:rPr>
          <w:rFonts w:cs="Times New Roman"/>
          <w:kern w:val="0"/>
        </w:rPr>
        <w:t xml:space="preserve"> </w:t>
      </w:r>
      <w:r w:rsidRPr="00E811AA">
        <w:rPr>
          <w:rFonts w:cs="Times New Roman"/>
          <w:kern w:val="0"/>
        </w:rPr>
        <w:t>03, no. 2 (n.d.)</w:t>
      </w:r>
      <w:r w:rsidR="005078F6">
        <w:rPr>
          <w:rFonts w:cs="Times New Roman"/>
          <w:kern w:val="0"/>
        </w:rPr>
        <w:t>: 35</w:t>
      </w:r>
      <w:r w:rsidRPr="00E811AA">
        <w:rPr>
          <w:rFonts w:cs="Times New Roman"/>
          <w:kern w:val="0"/>
        </w:rPr>
        <w:t>.</w:t>
      </w:r>
      <w:r>
        <w:fldChar w:fldCharType="end"/>
      </w:r>
    </w:p>
  </w:footnote>
  <w:footnote w:id="23">
    <w:p w14:paraId="1E07E996" w14:textId="60F46B5C" w:rsidR="00E811AA" w:rsidRDefault="00E811AA">
      <w:pPr>
        <w:pStyle w:val="FootnoteText"/>
      </w:pPr>
      <w:r>
        <w:rPr>
          <w:rStyle w:val="FootnoteReference"/>
        </w:rPr>
        <w:footnoteRef/>
      </w:r>
      <w:r>
        <w:t xml:space="preserve"> </w:t>
      </w:r>
      <w:r>
        <w:fldChar w:fldCharType="begin"/>
      </w:r>
      <w:r>
        <w:instrText xml:space="preserve"> ADDIN ZOTERO_ITEM CSL_CITATION {"citationID":"Dud6yYm5","properties":{"formattedCitation":"Muhammad Ahmad Munir, Mamnoon Hussain, and Muhammad Zia-ul-Haq, \\uc0\\u8220{}Paigham-e-Pakistan (The Message of Pakistan) [II]: National Narrative Counter to Violence, Extremism, and Terrorism in an Islamic Perspective,\\uc0\\u8221{} {\\i{}Islamic Studies} 58, no. 1 (2019): 127\\uc0\\u8211{}48.","plainCitation":"Muhammad Ahmad Munir, Mamnoon Hussain, and Muhammad Zia-ul-Haq, “Paigham-e-Pakistan (The Message of Pakistan) [II]: National Narrative Counter to Violence, Extremism, and Terrorism in an Islamic Perspective,” Islamic Studies 58, no. 1 (2019): 127–48.","noteIndex":22},"citationItems":[{"id":2506,"uris":["http://zotero.org/users/12431208/items/YU6JAYPC"],"itemData":{"id":2506,"type":"article-journal","container-title":"Islamic Studies","ISSN":"0578-8072","issue":"1","note":"publisher: Islamic Research Institute, International Islamic University, Islamabad","page":"127-148","source":"JSTOR","title":"Paigham-e-Pakistan (The Message of Pakistan) [II]: National Narrative Counter to Violence, Extremism, and Terrorism in an Islamic Perspective","title-short":"Paigham-e-Pakistan (The Message of Pakistan) [II]","volume":"58","author":[{"family":"Munir","given":"Muhammad Ahmad"},{"family":"Hussain","given":"Mamnoon"},{"family":"Zia-ul-Haq","given":"Muhammad"}],"issued":{"date-parts":[["2019"]]}}}],"schema":"https://github.com/citation-style-language/schema/raw/master/csl-citation.json"} </w:instrText>
      </w:r>
      <w:r>
        <w:fldChar w:fldCharType="separate"/>
      </w:r>
      <w:r w:rsidRPr="00E811AA">
        <w:rPr>
          <w:rFonts w:cs="Times New Roman"/>
          <w:kern w:val="0"/>
        </w:rPr>
        <w:t xml:space="preserve">Muhammad Ahmad Munir, Mamnoon Hussain, and Muhammad Zia-ul-Haq, “Paigham-e-Pakistan (The Message of Pakistan) [II]: National Narrative Counter to Violence, Extremism, and Terrorism in an Islamic Perspective,” </w:t>
      </w:r>
      <w:r w:rsidRPr="00E811AA">
        <w:rPr>
          <w:rFonts w:cs="Times New Roman"/>
          <w:i/>
          <w:iCs/>
          <w:kern w:val="0"/>
        </w:rPr>
        <w:t>Islamic Studies</w:t>
      </w:r>
      <w:r w:rsidRPr="00E811AA">
        <w:rPr>
          <w:rFonts w:cs="Times New Roman"/>
          <w:kern w:val="0"/>
        </w:rPr>
        <w:t xml:space="preserve"> 58, no. 1 (2019): 127.</w:t>
      </w:r>
      <w:r>
        <w:fldChar w:fldCharType="end"/>
      </w:r>
    </w:p>
  </w:footnote>
  <w:footnote w:id="24">
    <w:p w14:paraId="0723F33A" w14:textId="20731ACF" w:rsidR="00963CBC" w:rsidRDefault="00963CBC">
      <w:pPr>
        <w:pStyle w:val="FootnoteText"/>
      </w:pPr>
      <w:r>
        <w:rPr>
          <w:rStyle w:val="FootnoteReference"/>
        </w:rPr>
        <w:footnoteRef/>
      </w:r>
      <w:r>
        <w:t xml:space="preserve"> </w:t>
      </w:r>
      <w:r>
        <w:fldChar w:fldCharType="begin"/>
      </w:r>
      <w:r>
        <w:instrText xml:space="preserve"> ADDIN ZOTERO_ITEM CSL_CITATION {"citationID":"Y2On2n09","properties":{"formattedCitation":"Sarfraz Virk, \\uc0\\u8220{}NATIONAL INTERNAL SECURITY POLICY: AN ASSESSMENT,\\uc0\\u8221{} {\\i{}Journal of Public Policy Practitioners} 1, no. 2 (March 6, 2023), https://doi.org/10.32350/jppp.12.03.","plainCitation":"Sarfraz Virk, “NATIONAL INTERNAL SECURITY POLICY: AN ASSESSMENT,” Journal of Public Policy Practitioners 1, no. 2 (March 6, 2023), https://doi.org/10.32350/jppp.12.03.","noteIndex":24},"citationItems":[{"id":4464,"uris":["http://zotero.org/users/12431208/items/7F7F2EZ2"],"itemData":{"id":4464,"type":"article-journal","abstract":"For the last few years, Pakistan has faced many traditional and nontraditional security threats. Among them, the fatal threat is terrorism and extremism in the country, which has largely been connected with the Afghan war. After 9/11, terrorism and extremism got triggered in Pakistan, in which the country faced heavy consequences in terms of economy, loss of life, and destruction of infrastructure. This grave situation compelled the government to develop a comprehensive national security policy to address the growing threats. In 2014, the government enacted the first NISP 20142018. The focus was to initiate military operations in FATA areas to eliminate the terrorist’s hold, which achieved some positive outcomes in the short run. In 2018, prior to the general elections, the previous government announced another NISP 2018-2023. The implementation of that newly announced security policy was handed over to the new government. It was observed that the policy could not achieve the desired outcomes, as there were certain loopholes in the formulation and implementation of these stages. In this regard, the focus of the current research is, to critically analyze the drawbacks of NISP for the period of 2018-2023.","container-title":"Journal of Public Policy Practitioners","DOI":"10.32350/jppp.12.03","ISSN":"2959-2208, 2959-2208","issue":"2","journalAbbreviation":"JPPP","language":"en","source":"DOI.org (Crossref)","title":"NATIONAL INTERNAL SECURITY POLICY: AN ASSESSMENT","title-short":"NATIONAL INTERNAL SECURITY POLICY","URL":"https://journals.umt.edu.pk/index.php/jppp/article/view/3793","volume":"1","author":[{"family":"Virk","given":"Sarfraz"}],"accessed":{"date-parts":[["2025",2,28]]},"issued":{"date-parts":[["2023",3,6]]}}}],"schema":"https://github.com/citation-style-language/schema/raw/master/csl-citation.json"} </w:instrText>
      </w:r>
      <w:r>
        <w:fldChar w:fldCharType="separate"/>
      </w:r>
      <w:r w:rsidRPr="00963CBC">
        <w:rPr>
          <w:rFonts w:cs="Times New Roman"/>
          <w:kern w:val="0"/>
        </w:rPr>
        <w:t xml:space="preserve">Sarfraz Virk, “NATIONAL INTERNAL SECURITY POLICY: AN ASSESSMENT,” </w:t>
      </w:r>
      <w:r w:rsidRPr="00963CBC">
        <w:rPr>
          <w:rFonts w:cs="Times New Roman"/>
          <w:i/>
          <w:iCs/>
          <w:kern w:val="0"/>
        </w:rPr>
        <w:t>Journal of Public Policy Practitioners</w:t>
      </w:r>
      <w:r w:rsidRPr="00963CBC">
        <w:rPr>
          <w:rFonts w:cs="Times New Roman"/>
          <w:kern w:val="0"/>
        </w:rPr>
        <w:t xml:space="preserve"> 1, no. 2 (March 6, 2023), https://doi.org/10.32350/jppp.12.03.</w:t>
      </w:r>
      <w:r>
        <w:fldChar w:fldCharType="end"/>
      </w:r>
    </w:p>
  </w:footnote>
  <w:footnote w:id="25">
    <w:p w14:paraId="519F43E2" w14:textId="0DD30662" w:rsidR="00963CBC" w:rsidRDefault="00963CBC">
      <w:pPr>
        <w:pStyle w:val="FootnoteText"/>
      </w:pPr>
      <w:r>
        <w:rPr>
          <w:rStyle w:val="FootnoteReference"/>
        </w:rPr>
        <w:footnoteRef/>
      </w:r>
      <w:r>
        <w:t xml:space="preserve"> </w:t>
      </w:r>
      <w:r>
        <w:fldChar w:fldCharType="begin"/>
      </w:r>
      <w:r>
        <w:instrText xml:space="preserve"> ADDIN ZOTERO_ITEM CSL_CITATION {"citationID":"iSSk4Tir","properties":{"formattedCitation":"Khuram Iqbal and Muneeb Salman, \\uc0\\u8220{}Gap Analysis of Pakistan\\uc0\\u8217{}s Non-Kinetic Responses to Violent Extremism,\\uc0\\u8221{} {\\i{}Cogent Social Sciences} 9, no. 1 (December 31, 2023): 2221906, https://doi.org/10.1080/23311886.2023.2221906.","plainCitation":"Khuram Iqbal and Muneeb Salman, “Gap Analysis of Pakistan’s Non-Kinetic Responses to Violent Extremism,” Cogent Social Sciences 9, no. 1 (December 31, 2023): 2221906, https://doi.org/10.1080/23311886.2023.2221906.","noteIndex":25},"citationItems":[{"id":57,"uris":["http://zotero.org/users/12431208/items/HT2N8JM7"],"itemData":{"id":57,"type":"article-journal","container-title":"Cogent Social Sciences","DOI":"10.1080/23311886.2023.2221906","ISSN":"2331-1886","issue":"1","journalAbbreviation":"Cogent Social Sciences","language":"en","page":"2221906","source":"DOI.org (Crossref)","title":"Gap analysis of Pakistan’s non-kinetic responses to violent extremism","volume":"9","author":[{"family":"Iqbal","given":"Khuram"},{"family":"Salman","given":"Muneeb"}],"issued":{"date-parts":[["2023",12,31]]}}}],"schema":"https://github.com/citation-style-language/schema/raw/master/csl-citation.json"} </w:instrText>
      </w:r>
      <w:r>
        <w:fldChar w:fldCharType="separate"/>
      </w:r>
      <w:r w:rsidRPr="00963CBC">
        <w:rPr>
          <w:rFonts w:cs="Times New Roman"/>
          <w:kern w:val="0"/>
        </w:rPr>
        <w:t xml:space="preserve">Khuram Iqbal and Muneeb Salman, “Gap Analysis of Pakistan’s Non-Kinetic Responses to Violent Extremism,” </w:t>
      </w:r>
      <w:r w:rsidRPr="00963CBC">
        <w:rPr>
          <w:rFonts w:cs="Times New Roman"/>
          <w:i/>
          <w:iCs/>
          <w:kern w:val="0"/>
        </w:rPr>
        <w:t>Cogent Social Sciences</w:t>
      </w:r>
      <w:r w:rsidRPr="00963CBC">
        <w:rPr>
          <w:rFonts w:cs="Times New Roman"/>
          <w:kern w:val="0"/>
        </w:rPr>
        <w:t xml:space="preserve"> 9, no. 1 (December 31, 2023): 2221906, https://doi.org/10.1080/23311886.2023.2221906.</w:t>
      </w:r>
      <w:r>
        <w:fldChar w:fldCharType="end"/>
      </w:r>
    </w:p>
  </w:footnote>
  <w:footnote w:id="26">
    <w:p w14:paraId="7643BA11" w14:textId="7EAF4661" w:rsidR="005078F6" w:rsidRDefault="005078F6">
      <w:pPr>
        <w:pStyle w:val="FootnoteText"/>
      </w:pPr>
      <w:r>
        <w:rPr>
          <w:rStyle w:val="FootnoteReference"/>
        </w:rPr>
        <w:footnoteRef/>
      </w:r>
      <w:r>
        <w:t xml:space="preserve"> Yearly Security Report 2021, Pakistan Institute for Peace Studies, 2022.</w:t>
      </w:r>
    </w:p>
  </w:footnote>
  <w:footnote w:id="27">
    <w:p w14:paraId="1FF26339" w14:textId="0773C2D9" w:rsidR="005078F6" w:rsidRDefault="005078F6">
      <w:pPr>
        <w:pStyle w:val="FootnoteText"/>
      </w:pPr>
      <w:r>
        <w:rPr>
          <w:rStyle w:val="FootnoteReference"/>
        </w:rPr>
        <w:footnoteRef/>
      </w:r>
      <w:r>
        <w:t xml:space="preserve"> Yearly Security Report 2022, PIPS, 2023.</w:t>
      </w:r>
    </w:p>
  </w:footnote>
  <w:footnote w:id="28">
    <w:p w14:paraId="3F88CBA5" w14:textId="3B6F9FE6" w:rsidR="005078F6" w:rsidRDefault="005078F6">
      <w:pPr>
        <w:pStyle w:val="FootnoteText"/>
      </w:pPr>
      <w:r>
        <w:rPr>
          <w:rStyle w:val="FootnoteReference"/>
        </w:rPr>
        <w:footnoteRef/>
      </w:r>
      <w:r>
        <w:t xml:space="preserve"> Yearly Security Report 2023, PIPS, 2024.</w:t>
      </w:r>
    </w:p>
  </w:footnote>
  <w:footnote w:id="29">
    <w:p w14:paraId="5AF459EE" w14:textId="2CAA7899" w:rsidR="005078F6" w:rsidRDefault="005078F6">
      <w:pPr>
        <w:pStyle w:val="FootnoteText"/>
      </w:pPr>
      <w:r>
        <w:rPr>
          <w:rStyle w:val="FootnoteReference"/>
        </w:rPr>
        <w:footnoteRef/>
      </w:r>
      <w:r>
        <w:t xml:space="preserve"> Yearly Security Report 2024, PIPS, 2025.</w:t>
      </w:r>
    </w:p>
  </w:footnote>
  <w:footnote w:id="30">
    <w:p w14:paraId="5FD84B84" w14:textId="4021D1E6" w:rsidR="00090508" w:rsidRDefault="00090508">
      <w:pPr>
        <w:pStyle w:val="FootnoteText"/>
      </w:pPr>
      <w:r>
        <w:rPr>
          <w:rStyle w:val="FootnoteReference"/>
        </w:rPr>
        <w:footnoteRef/>
      </w:r>
      <w:r>
        <w:t xml:space="preserve"> </w:t>
      </w:r>
      <w:r>
        <w:fldChar w:fldCharType="begin"/>
      </w:r>
      <w:r>
        <w:instrText xml:space="preserve"> ADDIN ZOTERO_ITEM CSL_CITATION {"citationID":"dYXdMsA1","properties":{"formattedCitation":"Gary W. Cordner, \\uc0\\u8220{}Community Policing: Elements and Effects,\\uc0\\u8221{} {\\i{}Critical Issues in Policing: Contemporary Readings} 5 (1997): 401\\uc0\\u8211{}18.","plainCitation":"Gary W. Cordner, “Community Policing: Elements and Effects,” Critical Issues in Policing: Contemporary Readings 5 (1997): 401–18.","noteIndex":26},"citationItems":[{"id":4062,"uris":["http://zotero.org/users/12431208/items/T8KYQAH7"],"itemData":{"id":4062,"type":"article-journal","container-title":"Critical issues in policing: Contemporary readings","note":"publisher: Waveland Prospect Heights, IL","page":"401–418","source":"Google Scholar","title":"Community policing: Elements and effects","title-short":"Community policing","volume":"5","author":[{"family":"Cordner","given":"Gary W."}],"issued":{"date-parts":[["1997"]]}}}],"schema":"https://github.com/citation-style-language/schema/raw/master/csl-citation.json"} </w:instrText>
      </w:r>
      <w:r>
        <w:fldChar w:fldCharType="separate"/>
      </w:r>
      <w:r w:rsidRPr="00090508">
        <w:rPr>
          <w:rFonts w:cs="Times New Roman"/>
          <w:kern w:val="0"/>
        </w:rPr>
        <w:t xml:space="preserve">Gary W. Cordner, “Community Policing: Elements and Effects,” </w:t>
      </w:r>
      <w:r w:rsidRPr="00090508">
        <w:rPr>
          <w:rFonts w:cs="Times New Roman"/>
          <w:i/>
          <w:iCs/>
          <w:kern w:val="0"/>
        </w:rPr>
        <w:t>Critical Issues in Policing: Contemporary Readings</w:t>
      </w:r>
      <w:r w:rsidRPr="00090508">
        <w:rPr>
          <w:rFonts w:cs="Times New Roman"/>
          <w:kern w:val="0"/>
        </w:rPr>
        <w:t xml:space="preserve"> 5 (1997): 401–18.</w:t>
      </w:r>
      <w:r>
        <w:fldChar w:fldCharType="end"/>
      </w:r>
    </w:p>
  </w:footnote>
  <w:footnote w:id="31">
    <w:p w14:paraId="3978900A" w14:textId="0AC4DC9F" w:rsidR="00090508" w:rsidRDefault="00090508">
      <w:pPr>
        <w:pStyle w:val="FootnoteText"/>
      </w:pPr>
      <w:r>
        <w:rPr>
          <w:rStyle w:val="FootnoteReference"/>
        </w:rPr>
        <w:footnoteRef/>
      </w:r>
      <w:r>
        <w:t xml:space="preserve"> </w:t>
      </w:r>
      <w:r>
        <w:fldChar w:fldCharType="begin"/>
      </w:r>
      <w:r>
        <w:instrText xml:space="preserve"> ADDIN ZOTERO_ITEM CSL_CITATION {"citationID":"NWZZkRsA","properties":{"formattedCitation":"Gary Cordner, \\uc0\\u8220{}Community Policing,\\uc0\\u8221{} {\\i{}The Oxford Handbook of Police and Policing}, 2014, 148\\uc0\\u8211{}71.","plainCitation":"Gary Cordner, “Community Policing,” The Oxford Handbook of Police and Policing, 2014, 148–71.","noteIndex":27},"citationItems":[{"id":4067,"uris":["http://zotero.org/users/12431208/items/MSCTI85D"],"itemData":{"id":4067,"type":"article-journal","container-title":"The Oxford handbook of police and policing","page":"148–171","source":"Google Scholar","title":"Community policing","author":[{"family":"Cordner","given":"Gary"}],"issued":{"date-parts":[["2014"]]}}}],"schema":"https://github.com/citation-style-language/schema/raw/master/csl-citation.json"} </w:instrText>
      </w:r>
      <w:r>
        <w:fldChar w:fldCharType="separate"/>
      </w:r>
      <w:r w:rsidRPr="00090508">
        <w:rPr>
          <w:rFonts w:cs="Times New Roman"/>
          <w:kern w:val="0"/>
        </w:rPr>
        <w:t xml:space="preserve">Gary Cordner, “Community Policing,” </w:t>
      </w:r>
      <w:r w:rsidRPr="00090508">
        <w:rPr>
          <w:rFonts w:cs="Times New Roman"/>
          <w:i/>
          <w:iCs/>
          <w:kern w:val="0"/>
        </w:rPr>
        <w:t>The Oxford Handbook of Police and Policing</w:t>
      </w:r>
      <w:r w:rsidRPr="00090508">
        <w:rPr>
          <w:rFonts w:cs="Times New Roman"/>
          <w:kern w:val="0"/>
        </w:rPr>
        <w:t>, 2014, 148–71.</w:t>
      </w:r>
      <w:r>
        <w:fldChar w:fldCharType="end"/>
      </w:r>
    </w:p>
  </w:footnote>
  <w:footnote w:id="32">
    <w:p w14:paraId="50DACE6B" w14:textId="440DA9FF" w:rsidR="00090508" w:rsidRDefault="00090508">
      <w:pPr>
        <w:pStyle w:val="FootnoteText"/>
      </w:pPr>
      <w:r>
        <w:rPr>
          <w:rStyle w:val="FootnoteReference"/>
        </w:rPr>
        <w:footnoteRef/>
      </w:r>
      <w:r>
        <w:t xml:space="preserve"> Cordner, “Community Policing,” 406.</w:t>
      </w:r>
    </w:p>
  </w:footnote>
  <w:footnote w:id="33">
    <w:p w14:paraId="3C5C2393" w14:textId="25E31E00" w:rsidR="000025DD" w:rsidRDefault="000025DD">
      <w:pPr>
        <w:pStyle w:val="FootnoteText"/>
      </w:pPr>
      <w:r>
        <w:rPr>
          <w:rStyle w:val="FootnoteReference"/>
        </w:rPr>
        <w:footnoteRef/>
      </w:r>
      <w:r>
        <w:t xml:space="preserve"> </w:t>
      </w:r>
      <w:r w:rsidR="00F13B36">
        <w:t>Shahid Khan, interview by author, January 07, 2025.</w:t>
      </w:r>
    </w:p>
  </w:footnote>
  <w:footnote w:id="34">
    <w:p w14:paraId="2078E6FA" w14:textId="673CC627" w:rsidR="00F13B36" w:rsidRDefault="00F13B36">
      <w:pPr>
        <w:pStyle w:val="FootnoteText"/>
      </w:pPr>
      <w:r>
        <w:rPr>
          <w:rStyle w:val="FootnoteReference"/>
        </w:rPr>
        <w:footnoteRef/>
      </w:r>
      <w:r>
        <w:t xml:space="preserve"> District administration official, interview by author, January 15, 2025.</w:t>
      </w:r>
    </w:p>
  </w:footnote>
  <w:footnote w:id="35">
    <w:p w14:paraId="60A761B0" w14:textId="4D3254A7" w:rsidR="00F13B36" w:rsidRDefault="00F13B36">
      <w:pPr>
        <w:pStyle w:val="FootnoteText"/>
      </w:pPr>
      <w:r>
        <w:rPr>
          <w:rStyle w:val="FootnoteReference"/>
        </w:rPr>
        <w:footnoteRef/>
      </w:r>
      <w:r>
        <w:t xml:space="preserve"> Hafeez Ur Rehman, interview by author, January 08, 2025.</w:t>
      </w:r>
    </w:p>
  </w:footnote>
  <w:footnote w:id="36">
    <w:p w14:paraId="0AF7BAE1" w14:textId="2E36C374" w:rsidR="00F13B36" w:rsidRDefault="00F13B36">
      <w:pPr>
        <w:pStyle w:val="FootnoteText"/>
      </w:pPr>
      <w:r>
        <w:rPr>
          <w:rStyle w:val="FootnoteReference"/>
        </w:rPr>
        <w:footnoteRef/>
      </w:r>
      <w:r>
        <w:t xml:space="preserve"> Mahmood Ali, interview by author, January 05, 2025.</w:t>
      </w:r>
    </w:p>
  </w:footnote>
  <w:footnote w:id="37">
    <w:p w14:paraId="216DEC54" w14:textId="029B0960" w:rsidR="00F13B36" w:rsidRDefault="00F13B36">
      <w:pPr>
        <w:pStyle w:val="FootnoteText"/>
      </w:pPr>
      <w:r>
        <w:rPr>
          <w:rStyle w:val="FootnoteReference"/>
        </w:rPr>
        <w:footnoteRef/>
      </w:r>
      <w:r>
        <w:t xml:space="preserve"> Police Officer, interview by author, January 16, 2025.</w:t>
      </w:r>
    </w:p>
  </w:footnote>
  <w:footnote w:id="38">
    <w:p w14:paraId="5A714DC8" w14:textId="38F03477" w:rsidR="00F13B36" w:rsidRDefault="00F13B36">
      <w:pPr>
        <w:pStyle w:val="FootnoteText"/>
      </w:pPr>
      <w:r>
        <w:rPr>
          <w:rStyle w:val="FootnoteReference"/>
        </w:rPr>
        <w:footnoteRef/>
      </w:r>
      <w:r>
        <w:t xml:space="preserve"> Qasim Ali, interview by author, January 08, 2025.</w:t>
      </w:r>
    </w:p>
  </w:footnote>
  <w:footnote w:id="39">
    <w:p w14:paraId="571E2564" w14:textId="5B57155F" w:rsidR="00F13B36" w:rsidRDefault="00F13B36">
      <w:pPr>
        <w:pStyle w:val="FootnoteText"/>
      </w:pPr>
      <w:r>
        <w:rPr>
          <w:rStyle w:val="FootnoteReference"/>
        </w:rPr>
        <w:footnoteRef/>
      </w:r>
      <w:r>
        <w:t xml:space="preserve"> Saif Ullah, interview by author, January 07, 2025.</w:t>
      </w:r>
    </w:p>
  </w:footnote>
  <w:footnote w:id="40">
    <w:p w14:paraId="4D47CFB3" w14:textId="7F3AED44" w:rsidR="00F13B36" w:rsidRDefault="00F13B36">
      <w:pPr>
        <w:pStyle w:val="FootnoteText"/>
      </w:pPr>
      <w:r>
        <w:rPr>
          <w:rStyle w:val="FootnoteReference"/>
        </w:rPr>
        <w:footnoteRef/>
      </w:r>
      <w:r>
        <w:t xml:space="preserve"> </w:t>
      </w:r>
      <w:r>
        <w:fldChar w:fldCharType="begin"/>
      </w:r>
      <w:r>
        <w:instrText xml:space="preserve"> ADDIN ZOTERO_ITEM CSL_CITATION {"citationID":"WIORLUXM","properties":{"formattedCitation":"Fran H. Norris et al., \\uc0\\u8220{}Community Resilience as a Metaphor, Theory, Set of Capacities, and Strategy for Disaster Readiness,\\uc0\\u8221{} {\\i{}American Journal of Community Psychology} 41, no. 1\\uc0\\u8211{}2 (March 2008): 127\\uc0\\u8211{}50, https://doi.org/10.1007/s10464-007-9156-6.","plainCitation":"Fran H. Norris et al., “Community Resilience as a Metaphor, Theory, Set of Capacities, and Strategy for Disaster Readiness,” American Journal of Community Psychology 41, no. 1–2 (March 2008): 127–50, https://doi.org/10.1007/s10464-007-9156-6.","noteIndex":36},"citationItems":[{"id":2986,"uris":["http://zotero.org/users/12431208/items/HA22JF8T"],"itemData":{"id":2986,"type":"article-journal","abstract":"Abstract\n            Communities have the potential to function effectively and adapt successfully in the aftermath of disasters. Drawing upon literatures in several disciplines, we present a theory of resilience that encompasses contemporary understandings of stress, adaptation, wellness, and resource dynamics. Community resilience is a process linking a network of adaptive capacities (resources with dynamic attributes) to adaptation after a disturbance or adversity. Community adaptation is manifest in population wellness, defined as high and non‐disparate levels of mental and behavioral health, functioning, and quality of life. Community resilience emerges from four primary sets of adaptive capacities—Economic Development, Social Capital, Information and Communication, and Community Competence—that together provide a strategy for disaster readiness. To build collective resilience, communities must reduce risk and resource inequities, engage local people in mitigation, create organizational linkages, boost and protect social supports, and plan for not having a plan, which requires flexibility, decision‐making skills, and trusted sources of information that function in the face of unknowns.","container-title":"American Journal of Community Psychology","DOI":"10.1007/s10464-007-9156-6","ISSN":"0091-0562, 1573-2770","issue":"1-2","journalAbbreviation":"American J of Comm Psychol","language":"en","license":"http://onlinelibrary.wiley.com/termsAndConditions#vor","page":"127-150","source":"DOI.org (Crossref)","title":"Community Resilience as a Metaphor, Theory, Set of Capacities, and Strategy for Disaster Readiness","volume":"41","author":[{"family":"Norris","given":"Fran H."},{"family":"Stevens","given":"Susan P."},{"family":"Pfefferbaum","given":"Betty"},{"family":"Wyche","given":"Karen F."},{"family":"Pfefferbaum","given":"Rose L."}],"issued":{"date-parts":[["2008",3]]}}}],"schema":"https://github.com/citation-style-language/schema/raw/master/csl-citation.json"} </w:instrText>
      </w:r>
      <w:r>
        <w:fldChar w:fldCharType="separate"/>
      </w:r>
      <w:r w:rsidRPr="00F13B36">
        <w:rPr>
          <w:rFonts w:cs="Times New Roman"/>
          <w:kern w:val="0"/>
        </w:rPr>
        <w:t xml:space="preserve">Fran H. Norris et al., “Community Resilience as a Metaphor, Theory, Set of Capacities, and Strategy for Disaster Readiness,” </w:t>
      </w:r>
      <w:r w:rsidRPr="00F13B36">
        <w:rPr>
          <w:rFonts w:cs="Times New Roman"/>
          <w:i/>
          <w:iCs/>
          <w:kern w:val="0"/>
        </w:rPr>
        <w:t>American Journal of Community Psychology</w:t>
      </w:r>
      <w:r w:rsidRPr="00F13B36">
        <w:rPr>
          <w:rFonts w:cs="Times New Roman"/>
          <w:kern w:val="0"/>
        </w:rPr>
        <w:t xml:space="preserve"> 41, no. 1–2 (March 2008): 127–50, https://doi.org/10.1007/s10464-007-9156-6.</w:t>
      </w:r>
      <w:r>
        <w:fldChar w:fldCharType="end"/>
      </w:r>
    </w:p>
  </w:footnote>
  <w:footnote w:id="41">
    <w:p w14:paraId="1ACCB6AA" w14:textId="108C76CD" w:rsidR="00B41280" w:rsidRDefault="00B41280">
      <w:pPr>
        <w:pStyle w:val="FootnoteText"/>
      </w:pPr>
      <w:r>
        <w:rPr>
          <w:rStyle w:val="FootnoteReference"/>
        </w:rPr>
        <w:footnoteRef/>
      </w:r>
      <w:r>
        <w:t xml:space="preserve"> Gul Nawaz, interview by author, January 05, 2025.</w:t>
      </w:r>
    </w:p>
  </w:footnote>
  <w:footnote w:id="42">
    <w:p w14:paraId="267C49BF" w14:textId="79B2188C" w:rsidR="00B41280" w:rsidRDefault="00B41280">
      <w:pPr>
        <w:pStyle w:val="FootnoteText"/>
      </w:pPr>
      <w:r>
        <w:rPr>
          <w:rStyle w:val="FootnoteReference"/>
        </w:rPr>
        <w:footnoteRef/>
      </w:r>
      <w:r>
        <w:t xml:space="preserve"> Mahmood Ali, interview by author, January 05, 2025.</w:t>
      </w:r>
    </w:p>
  </w:footnote>
  <w:footnote w:id="43">
    <w:p w14:paraId="7369D0CB" w14:textId="317F0266" w:rsidR="00B41280" w:rsidRDefault="00B41280">
      <w:pPr>
        <w:pStyle w:val="FootnoteText"/>
      </w:pPr>
      <w:r>
        <w:rPr>
          <w:rStyle w:val="FootnoteReference"/>
        </w:rPr>
        <w:footnoteRef/>
      </w:r>
      <w:r>
        <w:t xml:space="preserve"> Police Officer, interview by author, January 14, 2025.</w:t>
      </w:r>
    </w:p>
  </w:footnote>
  <w:footnote w:id="44">
    <w:p w14:paraId="4027948E" w14:textId="4C396013" w:rsidR="00B41280" w:rsidRDefault="00B41280">
      <w:pPr>
        <w:pStyle w:val="FootnoteText"/>
      </w:pPr>
      <w:r>
        <w:rPr>
          <w:rStyle w:val="FootnoteReference"/>
        </w:rPr>
        <w:footnoteRef/>
      </w:r>
      <w:r>
        <w:t xml:space="preserve"> Police Officer, interview by author, January 16, 2025.</w:t>
      </w:r>
    </w:p>
  </w:footnote>
  <w:footnote w:id="45">
    <w:p w14:paraId="6566690D" w14:textId="182FE224" w:rsidR="000D1FB4" w:rsidRDefault="000D1FB4">
      <w:pPr>
        <w:pStyle w:val="FootnoteText"/>
      </w:pPr>
      <w:r>
        <w:rPr>
          <w:rStyle w:val="FootnoteReference"/>
        </w:rPr>
        <w:footnoteRef/>
      </w:r>
      <w:r>
        <w:t xml:space="preserve"> Shahid Khan, interview by author, January 08, 2025.</w:t>
      </w:r>
    </w:p>
  </w:footnote>
  <w:footnote w:id="46">
    <w:p w14:paraId="15610724" w14:textId="136A27D2" w:rsidR="000D1FB4" w:rsidRDefault="000D1FB4">
      <w:pPr>
        <w:pStyle w:val="FootnoteText"/>
      </w:pPr>
      <w:r>
        <w:rPr>
          <w:rStyle w:val="FootnoteReference"/>
        </w:rPr>
        <w:footnoteRef/>
      </w:r>
      <w:r>
        <w:t xml:space="preserve"> Gul Nawaz, interview by author, January 05, 2025.</w:t>
      </w:r>
    </w:p>
  </w:footnote>
  <w:footnote w:id="47">
    <w:p w14:paraId="3E1A761E" w14:textId="5476F160" w:rsidR="000D1FB4" w:rsidRDefault="000D1FB4">
      <w:pPr>
        <w:pStyle w:val="FootnoteText"/>
      </w:pPr>
      <w:r>
        <w:rPr>
          <w:rStyle w:val="FootnoteReference"/>
        </w:rPr>
        <w:footnoteRef/>
      </w:r>
      <w:r>
        <w:t xml:space="preserve"> Farid Gul, interview by author, January 06, 2025.</w:t>
      </w:r>
    </w:p>
  </w:footnote>
  <w:footnote w:id="48">
    <w:p w14:paraId="6E0BF13F" w14:textId="29566B42" w:rsidR="000D1FB4" w:rsidRDefault="000D1FB4">
      <w:pPr>
        <w:pStyle w:val="FootnoteText"/>
      </w:pPr>
      <w:r>
        <w:rPr>
          <w:rStyle w:val="FootnoteReference"/>
        </w:rPr>
        <w:footnoteRef/>
      </w:r>
      <w:r>
        <w:t xml:space="preserve"> Farid Gul, interview by author, January 06, 2025.</w:t>
      </w:r>
    </w:p>
  </w:footnote>
  <w:footnote w:id="49">
    <w:p w14:paraId="67FCDF1D" w14:textId="6E482442" w:rsidR="000D1FB4" w:rsidRDefault="000D1FB4">
      <w:pPr>
        <w:pStyle w:val="FootnoteText"/>
      </w:pPr>
      <w:r>
        <w:rPr>
          <w:rStyle w:val="FootnoteReference"/>
        </w:rPr>
        <w:footnoteRef/>
      </w:r>
      <w:r>
        <w:t xml:space="preserve"> District Administration Officer, interview by author, January 15, 2025.</w:t>
      </w:r>
    </w:p>
  </w:footnote>
  <w:footnote w:id="50">
    <w:p w14:paraId="0C07BED0" w14:textId="04058E5B" w:rsidR="000D1FB4" w:rsidRDefault="000D1FB4">
      <w:pPr>
        <w:pStyle w:val="FootnoteText"/>
      </w:pPr>
      <w:r>
        <w:rPr>
          <w:rStyle w:val="FootnoteReference"/>
        </w:rPr>
        <w:footnoteRef/>
      </w:r>
      <w:r>
        <w:t xml:space="preserve"> Hafeez Ur Rehman, interview by author, January 08, 2025.</w:t>
      </w:r>
    </w:p>
  </w:footnote>
  <w:footnote w:id="51">
    <w:p w14:paraId="0E840E25" w14:textId="79BDB1BD" w:rsidR="000D1FB4" w:rsidRDefault="000D1FB4">
      <w:pPr>
        <w:pStyle w:val="FootnoteText"/>
      </w:pPr>
      <w:r>
        <w:rPr>
          <w:rStyle w:val="FootnoteReference"/>
        </w:rPr>
        <w:footnoteRef/>
      </w:r>
      <w:r>
        <w:t xml:space="preserve"> Kashif Zaman, interview by author, January 12, 2025.</w:t>
      </w:r>
    </w:p>
  </w:footnote>
  <w:footnote w:id="52">
    <w:p w14:paraId="48D7B70A" w14:textId="206D1C4B" w:rsidR="000D1FB4" w:rsidRDefault="000D1FB4">
      <w:pPr>
        <w:pStyle w:val="FootnoteText"/>
      </w:pPr>
      <w:r>
        <w:rPr>
          <w:rStyle w:val="FootnoteReference"/>
        </w:rPr>
        <w:footnoteRef/>
      </w:r>
      <w:r>
        <w:t xml:space="preserve"> Asif Nawaz, interview by author, January</w:t>
      </w:r>
      <w:r w:rsidR="00AD1247">
        <w:t xml:space="preserve"> 05, 2025.</w:t>
      </w:r>
    </w:p>
  </w:footnote>
  <w:footnote w:id="53">
    <w:p w14:paraId="6AFF3247" w14:textId="493FDCD4" w:rsidR="00AD1247" w:rsidRDefault="00AD1247">
      <w:pPr>
        <w:pStyle w:val="FootnoteText"/>
      </w:pPr>
      <w:r>
        <w:rPr>
          <w:rStyle w:val="FootnoteReference"/>
        </w:rPr>
        <w:footnoteRef/>
      </w:r>
      <w:r>
        <w:t xml:space="preserve"> Gul Nawaz, interview by author, January 05, 2025.</w:t>
      </w:r>
    </w:p>
  </w:footnote>
  <w:footnote w:id="54">
    <w:p w14:paraId="64391E51" w14:textId="6E3F0D4E" w:rsidR="00AD1247" w:rsidRDefault="00AD1247">
      <w:pPr>
        <w:pStyle w:val="FootnoteText"/>
      </w:pPr>
      <w:r>
        <w:rPr>
          <w:rStyle w:val="FootnoteReference"/>
        </w:rPr>
        <w:footnoteRef/>
      </w:r>
      <w:r>
        <w:t xml:space="preserve"> Tariq Gul, interview by author, January 07, 2025.</w:t>
      </w:r>
    </w:p>
  </w:footnote>
  <w:footnote w:id="55">
    <w:p w14:paraId="6A373D31" w14:textId="79CBF836" w:rsidR="00AD1247" w:rsidRDefault="00AD1247">
      <w:pPr>
        <w:pStyle w:val="FootnoteText"/>
      </w:pPr>
      <w:r>
        <w:rPr>
          <w:rStyle w:val="FootnoteReference"/>
        </w:rPr>
        <w:footnoteRef/>
      </w:r>
      <w:r>
        <w:t xml:space="preserve"> Mahmood Ali, interview by author, January 05, 2025.</w:t>
      </w:r>
    </w:p>
  </w:footnote>
  <w:footnote w:id="56">
    <w:p w14:paraId="4FD6FB8E" w14:textId="1F16BC8D" w:rsidR="00AD1247" w:rsidRDefault="00AD1247">
      <w:pPr>
        <w:pStyle w:val="FootnoteText"/>
      </w:pPr>
      <w:r>
        <w:rPr>
          <w:rStyle w:val="FootnoteReference"/>
        </w:rPr>
        <w:footnoteRef/>
      </w:r>
      <w:r>
        <w:t xml:space="preserve"> Shahid Khan, interview by author, January 07, 2025.</w:t>
      </w:r>
    </w:p>
  </w:footnote>
  <w:footnote w:id="57">
    <w:p w14:paraId="71A643A9" w14:textId="079F8C50" w:rsidR="00AD1247" w:rsidRDefault="00AD1247">
      <w:pPr>
        <w:pStyle w:val="FootnoteText"/>
      </w:pPr>
      <w:r>
        <w:rPr>
          <w:rStyle w:val="FootnoteReference"/>
        </w:rPr>
        <w:footnoteRef/>
      </w:r>
      <w:r>
        <w:t xml:space="preserve"> Gul Nawaz, interview by author, January 05, 2025.</w:t>
      </w:r>
    </w:p>
  </w:footnote>
  <w:footnote w:id="58">
    <w:p w14:paraId="78E739CA" w14:textId="5EEBD461" w:rsidR="00AD1247" w:rsidRDefault="00AD1247">
      <w:pPr>
        <w:pStyle w:val="FootnoteText"/>
      </w:pPr>
      <w:r>
        <w:rPr>
          <w:rStyle w:val="FootnoteReference"/>
        </w:rPr>
        <w:footnoteRef/>
      </w:r>
      <w:r>
        <w:t xml:space="preserve"> Shahid Khan, interview by author, January 07, 2025.</w:t>
      </w:r>
    </w:p>
  </w:footnote>
  <w:footnote w:id="59">
    <w:p w14:paraId="57926BB3" w14:textId="599EDD29" w:rsidR="00AD1247" w:rsidRDefault="00AD1247">
      <w:pPr>
        <w:pStyle w:val="FootnoteText"/>
      </w:pPr>
      <w:r>
        <w:rPr>
          <w:rStyle w:val="FootnoteReference"/>
        </w:rPr>
        <w:footnoteRef/>
      </w:r>
      <w:r>
        <w:t xml:space="preserve"> Hafeez Ur Rehman, interview by author, January 08, 2025.</w:t>
      </w:r>
    </w:p>
  </w:footnote>
  <w:footnote w:id="60">
    <w:p w14:paraId="4C62CC12" w14:textId="38D275CB" w:rsidR="00AD1247" w:rsidRDefault="00AD1247">
      <w:pPr>
        <w:pStyle w:val="FootnoteText"/>
      </w:pPr>
      <w:r>
        <w:rPr>
          <w:rStyle w:val="FootnoteReference"/>
        </w:rPr>
        <w:footnoteRef/>
      </w:r>
      <w:r>
        <w:t xml:space="preserve"> Aimal Shah Khattak, interview by author, January 03, 2025.</w:t>
      </w:r>
    </w:p>
  </w:footnote>
  <w:footnote w:id="61">
    <w:p w14:paraId="2AFDE51A" w14:textId="3AA71F77" w:rsidR="00AD1247" w:rsidRDefault="00AD1247">
      <w:pPr>
        <w:pStyle w:val="FootnoteText"/>
      </w:pPr>
      <w:r>
        <w:rPr>
          <w:rStyle w:val="FootnoteReference"/>
        </w:rPr>
        <w:footnoteRef/>
      </w:r>
      <w:r>
        <w:t xml:space="preserve"> Police Officer, interview by author, January 05, 2025.</w:t>
      </w:r>
    </w:p>
  </w:footnote>
  <w:footnote w:id="62">
    <w:p w14:paraId="147FE03F" w14:textId="64662530" w:rsidR="00AD1247" w:rsidRDefault="00AD1247">
      <w:pPr>
        <w:pStyle w:val="FootnoteText"/>
      </w:pPr>
      <w:r>
        <w:rPr>
          <w:rStyle w:val="FootnoteReference"/>
        </w:rPr>
        <w:footnoteRef/>
      </w:r>
      <w:r>
        <w:t xml:space="preserve"> District Administration Officer, interview by author, January 15, 2025.</w:t>
      </w:r>
    </w:p>
  </w:footnote>
  <w:footnote w:id="63">
    <w:p w14:paraId="18651EB0" w14:textId="58D8C3E6" w:rsidR="003164F8" w:rsidRDefault="003164F8">
      <w:pPr>
        <w:pStyle w:val="FootnoteText"/>
      </w:pPr>
      <w:r>
        <w:rPr>
          <w:rStyle w:val="FootnoteReference"/>
        </w:rPr>
        <w:footnoteRef/>
      </w:r>
      <w:r>
        <w:t xml:space="preserve"> </w:t>
      </w:r>
      <w:r>
        <w:fldChar w:fldCharType="begin"/>
      </w:r>
      <w:r>
        <w:instrText xml:space="preserve"> ADDIN ZOTERO_ITEM CSL_CITATION {"citationID":"gAV6SBb8","properties":{"formattedCitation":"Anna Sofia Lundgren and Bo Nilsson, \\uc0\\u8220{}\\uc0\\u8216{}For the Good of the Village\\uc0\\u8217{}: Volunteer Initiatives and Rural Resilience,\\uc0\\u8221{} {\\i{}Journal of Rural Studies} 102 (August 2023): 103104, https://doi.org/10.1016/j.jrurstud.2023.103104.","plainCitation":"Anna Sofia Lundgren and Bo Nilsson, “‘For the Good of the Village’: Volunteer Initiatives and Rural Resilience,” Journal of Rural Studies 102 (August 2023): 103104, https://doi.org/10.1016/j.jrurstud.2023.103104.","noteIndex":59},"citationItems":[{"id":4284,"uris":["http://zotero.org/users/12431208/items/WXTBBQV8"],"itemData":{"id":4284,"type":"article-journal","abstract":"As a consequence of cutbacks in the welfare sector, rural populations have reacted to their situation by taking over and operating activities that are threatened by closures, such as schools, grocery stores and health centres, for themselves. Such initiatives are often referred to as examples of rural resilience. Drawing on interviews, this paper explores participants’ narratives about rural initiatives aiming to retain and develop local welfare and community services. It pays specific heed to how notions of resilience reside within the narratives – the ideo­ logical convictions and challenges they entail, and the practices they make (im)possible. The study shows that participants’ narratives about resilient villages and initiatives indirectly support the neoliberal rural policy focus on regional responsibility to create growth. It argues that, in order to understand the appeal of the neoliberal positions and practices that resilience thinking proved to entail, it is important to recognise the intersections of space and identity, and to explore the local spatial experiences and imageries in relation to which resilience practices appear desirable and necessary, as well as the specific rural identities that resilience discourse supports.","container-title":"Journal of Rural Studies","DOI":"10.1016/j.jrurstud.2023.103104","ISSN":"07430167","journalAbbreviation":"Journal of Rural Studies","language":"en","page":"103104","source":"DOI.org (Crossref)","title":"“For the good of the village”: Volunteer initiatives and rural resilience","title-short":"“For the good of the village”","volume":"102","author":[{"family":"Lundgren","given":"Anna Sofia"},{"family":"Nilsson","given":"Bo"}],"issued":{"date-parts":[["2023",8]]}}}],"schema":"https://github.com/citation-style-language/schema/raw/master/csl-citation.json"} </w:instrText>
      </w:r>
      <w:r>
        <w:fldChar w:fldCharType="separate"/>
      </w:r>
      <w:r w:rsidRPr="003164F8">
        <w:rPr>
          <w:rFonts w:cs="Times New Roman"/>
          <w:kern w:val="0"/>
        </w:rPr>
        <w:t xml:space="preserve">Anna Sofia Lundgren and Bo Nilsson, “‘For the Good of the Village’: Volunteer Initiatives and Rural Resilience,” </w:t>
      </w:r>
      <w:r w:rsidRPr="003164F8">
        <w:rPr>
          <w:rFonts w:cs="Times New Roman"/>
          <w:i/>
          <w:iCs/>
          <w:kern w:val="0"/>
        </w:rPr>
        <w:t>Journal of Rural Studies</w:t>
      </w:r>
      <w:r w:rsidRPr="003164F8">
        <w:rPr>
          <w:rFonts w:cs="Times New Roman"/>
          <w:kern w:val="0"/>
        </w:rPr>
        <w:t xml:space="preserve"> 102 (August 2023): 103104, https://doi.org/10.1016/j.jrurstud.2023.103104.</w:t>
      </w:r>
      <w:r>
        <w:fldChar w:fldCharType="end"/>
      </w:r>
    </w:p>
  </w:footnote>
  <w:footnote w:id="64">
    <w:p w14:paraId="47720843" w14:textId="5B05ECD4" w:rsidR="003164F8" w:rsidRDefault="003164F8">
      <w:pPr>
        <w:pStyle w:val="FootnoteText"/>
      </w:pPr>
      <w:r>
        <w:rPr>
          <w:rStyle w:val="FootnoteReference"/>
        </w:rPr>
        <w:footnoteRef/>
      </w:r>
      <w:r>
        <w:t xml:space="preserve"> Mahmood Ali, interview by author, January 05, 2025.</w:t>
      </w:r>
    </w:p>
  </w:footnote>
  <w:footnote w:id="65">
    <w:p w14:paraId="052F2FEF" w14:textId="568C453A" w:rsidR="003164F8" w:rsidRDefault="003164F8">
      <w:pPr>
        <w:pStyle w:val="FootnoteText"/>
      </w:pPr>
      <w:r>
        <w:rPr>
          <w:rStyle w:val="FootnoteReference"/>
        </w:rPr>
        <w:footnoteRef/>
      </w:r>
      <w:r>
        <w:t xml:space="preserve"> Hafeez Ur Rehman, interview by author, January 08, 2025.</w:t>
      </w:r>
    </w:p>
  </w:footnote>
  <w:footnote w:id="66">
    <w:p w14:paraId="22446ECF" w14:textId="5E812D99" w:rsidR="003164F8" w:rsidRDefault="003164F8">
      <w:pPr>
        <w:pStyle w:val="FootnoteText"/>
      </w:pPr>
      <w:r>
        <w:rPr>
          <w:rStyle w:val="FootnoteReference"/>
        </w:rPr>
        <w:footnoteRef/>
      </w:r>
      <w:r>
        <w:t xml:space="preserve"> Farid Gul, interview by author, January 06, 2025.</w:t>
      </w:r>
    </w:p>
  </w:footnote>
  <w:footnote w:id="67">
    <w:p w14:paraId="6B5A0042" w14:textId="3FB0F2EF" w:rsidR="003164F8" w:rsidRDefault="003164F8">
      <w:pPr>
        <w:pStyle w:val="FootnoteText"/>
      </w:pPr>
      <w:r>
        <w:rPr>
          <w:rStyle w:val="FootnoteReference"/>
        </w:rPr>
        <w:footnoteRef/>
      </w:r>
      <w:r>
        <w:t xml:space="preserve"> Gul Nawaz, interview by author, January 05, 2025.</w:t>
      </w:r>
    </w:p>
  </w:footnote>
  <w:footnote w:id="68">
    <w:p w14:paraId="7379A41E" w14:textId="673C5440" w:rsidR="003164F8" w:rsidRDefault="003164F8">
      <w:pPr>
        <w:pStyle w:val="FootnoteText"/>
      </w:pPr>
      <w:r>
        <w:rPr>
          <w:rStyle w:val="FootnoteReference"/>
        </w:rPr>
        <w:footnoteRef/>
      </w:r>
      <w:r>
        <w:t xml:space="preserve"> Asif Nawaz, interview by author, January 05, 2025.</w:t>
      </w:r>
    </w:p>
  </w:footnote>
  <w:footnote w:id="69">
    <w:p w14:paraId="6BD816C7" w14:textId="77777777" w:rsidR="003164F8" w:rsidRDefault="003164F8" w:rsidP="003164F8">
      <w:pPr>
        <w:pStyle w:val="FootnoteText"/>
      </w:pPr>
      <w:r>
        <w:rPr>
          <w:rStyle w:val="FootnoteReference"/>
        </w:rPr>
        <w:footnoteRef/>
      </w:r>
      <w:r>
        <w:t xml:space="preserve"> Mahmood Ali, interview by author, January 05, 2025.</w:t>
      </w:r>
    </w:p>
  </w:footnote>
  <w:footnote w:id="70">
    <w:p w14:paraId="3E466301" w14:textId="225C2C05" w:rsidR="002B792B" w:rsidRDefault="002B792B">
      <w:pPr>
        <w:pStyle w:val="FootnoteText"/>
      </w:pPr>
      <w:r>
        <w:rPr>
          <w:rStyle w:val="FootnoteReference"/>
        </w:rPr>
        <w:footnoteRef/>
      </w:r>
      <w:r>
        <w:t xml:space="preserve"> Tariq Gul, interview by author, January 07, 2025.</w:t>
      </w:r>
    </w:p>
  </w:footnote>
  <w:footnote w:id="71">
    <w:p w14:paraId="4A06D4FC" w14:textId="5FF0F146" w:rsidR="002B792B" w:rsidRDefault="002B792B">
      <w:pPr>
        <w:pStyle w:val="FootnoteText"/>
      </w:pPr>
      <w:r>
        <w:rPr>
          <w:rStyle w:val="FootnoteReference"/>
        </w:rPr>
        <w:footnoteRef/>
      </w:r>
      <w:r>
        <w:t xml:space="preserve"> Kashif Zaman, interview by author, January 12, 2025.</w:t>
      </w:r>
    </w:p>
  </w:footnote>
  <w:footnote w:id="72">
    <w:p w14:paraId="71D4B75C" w14:textId="3B31D807" w:rsidR="002B792B" w:rsidRDefault="002B792B">
      <w:pPr>
        <w:pStyle w:val="FootnoteText"/>
      </w:pPr>
      <w:r>
        <w:rPr>
          <w:rStyle w:val="FootnoteReference"/>
        </w:rPr>
        <w:footnoteRef/>
      </w:r>
      <w:r>
        <w:t xml:space="preserve"> Farid Gul, interview by author, January 06, 2025.</w:t>
      </w:r>
    </w:p>
  </w:footnote>
  <w:footnote w:id="73">
    <w:p w14:paraId="6AF2A949" w14:textId="2D930CB4" w:rsidR="002B792B" w:rsidRDefault="002B792B">
      <w:pPr>
        <w:pStyle w:val="FootnoteText"/>
      </w:pPr>
      <w:r>
        <w:rPr>
          <w:rStyle w:val="FootnoteReference"/>
        </w:rPr>
        <w:footnoteRef/>
      </w:r>
      <w:r>
        <w:t xml:space="preserve"> Police Officer, interview by author, January 14, 2025.</w:t>
      </w:r>
    </w:p>
  </w:footnote>
  <w:footnote w:id="74">
    <w:p w14:paraId="2E29FC5E" w14:textId="6C282880" w:rsidR="002B792B" w:rsidRDefault="002B792B">
      <w:pPr>
        <w:pStyle w:val="FootnoteText"/>
      </w:pPr>
      <w:r>
        <w:rPr>
          <w:rStyle w:val="FootnoteReference"/>
        </w:rPr>
        <w:footnoteRef/>
      </w:r>
      <w:r>
        <w:t xml:space="preserve"> Police Officer, interview by author, January 16, 2025.</w:t>
      </w:r>
    </w:p>
  </w:footnote>
  <w:footnote w:id="75">
    <w:p w14:paraId="2576EC3E" w14:textId="1D35761C" w:rsidR="002B792B" w:rsidRDefault="002B792B">
      <w:pPr>
        <w:pStyle w:val="FootnoteText"/>
      </w:pPr>
      <w:r>
        <w:rPr>
          <w:rStyle w:val="FootnoteReference"/>
        </w:rPr>
        <w:footnoteRef/>
      </w:r>
      <w:r>
        <w:t xml:space="preserve"> Aimal Shah Khattak, interview by author, January 03, 2025.</w:t>
      </w:r>
    </w:p>
  </w:footnote>
  <w:footnote w:id="76">
    <w:p w14:paraId="677A99A4" w14:textId="3BF0E79D" w:rsidR="002B792B" w:rsidRDefault="002B792B">
      <w:pPr>
        <w:pStyle w:val="FootnoteText"/>
      </w:pPr>
      <w:r>
        <w:rPr>
          <w:rStyle w:val="FootnoteReference"/>
        </w:rPr>
        <w:footnoteRef/>
      </w:r>
      <w:r>
        <w:t xml:space="preserve"> Hafeez Ur Rehman, interview by author, January 08, 2025.</w:t>
      </w:r>
    </w:p>
  </w:footnote>
  <w:footnote w:id="77">
    <w:p w14:paraId="1DE8E97E" w14:textId="39CDE051" w:rsidR="002B792B" w:rsidRDefault="002B792B">
      <w:pPr>
        <w:pStyle w:val="FootnoteText"/>
      </w:pPr>
      <w:r>
        <w:rPr>
          <w:rStyle w:val="FootnoteReference"/>
        </w:rPr>
        <w:footnoteRef/>
      </w:r>
      <w:r>
        <w:t xml:space="preserve"> Police Officer, interview by author, January 16,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03923"/>
    <w:multiLevelType w:val="hybridMultilevel"/>
    <w:tmpl w:val="93500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789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401C2C"/>
    <w:rsid w:val="00000BB3"/>
    <w:rsid w:val="000025DD"/>
    <w:rsid w:val="00031F78"/>
    <w:rsid w:val="000600EC"/>
    <w:rsid w:val="00090508"/>
    <w:rsid w:val="000D1FB4"/>
    <w:rsid w:val="00104B13"/>
    <w:rsid w:val="00122145"/>
    <w:rsid w:val="001406A7"/>
    <w:rsid w:val="0014609B"/>
    <w:rsid w:val="001941D9"/>
    <w:rsid w:val="001C1D9B"/>
    <w:rsid w:val="001E06CB"/>
    <w:rsid w:val="001F4032"/>
    <w:rsid w:val="00205243"/>
    <w:rsid w:val="0025726E"/>
    <w:rsid w:val="00257F26"/>
    <w:rsid w:val="002B792B"/>
    <w:rsid w:val="00300324"/>
    <w:rsid w:val="003164F8"/>
    <w:rsid w:val="0034262F"/>
    <w:rsid w:val="00393A44"/>
    <w:rsid w:val="003C02F9"/>
    <w:rsid w:val="00401C2C"/>
    <w:rsid w:val="00470ACF"/>
    <w:rsid w:val="00487716"/>
    <w:rsid w:val="00494A04"/>
    <w:rsid w:val="004C3CA3"/>
    <w:rsid w:val="004D7BCD"/>
    <w:rsid w:val="004F1DB2"/>
    <w:rsid w:val="005078F6"/>
    <w:rsid w:val="00522681"/>
    <w:rsid w:val="00523455"/>
    <w:rsid w:val="00527293"/>
    <w:rsid w:val="005367EE"/>
    <w:rsid w:val="005604E2"/>
    <w:rsid w:val="0057384A"/>
    <w:rsid w:val="005B03FF"/>
    <w:rsid w:val="005D1132"/>
    <w:rsid w:val="005E798B"/>
    <w:rsid w:val="006022F0"/>
    <w:rsid w:val="006226BC"/>
    <w:rsid w:val="006347FF"/>
    <w:rsid w:val="0067058A"/>
    <w:rsid w:val="00681810"/>
    <w:rsid w:val="0069307B"/>
    <w:rsid w:val="006A01C5"/>
    <w:rsid w:val="00717F47"/>
    <w:rsid w:val="00720731"/>
    <w:rsid w:val="007279A4"/>
    <w:rsid w:val="0073663D"/>
    <w:rsid w:val="00737EB0"/>
    <w:rsid w:val="00744457"/>
    <w:rsid w:val="00752750"/>
    <w:rsid w:val="00755EE3"/>
    <w:rsid w:val="007A3330"/>
    <w:rsid w:val="007C373F"/>
    <w:rsid w:val="007D0E4A"/>
    <w:rsid w:val="00852472"/>
    <w:rsid w:val="00863B37"/>
    <w:rsid w:val="008C7ACF"/>
    <w:rsid w:val="008D50F4"/>
    <w:rsid w:val="008D6189"/>
    <w:rsid w:val="008F137E"/>
    <w:rsid w:val="009030FE"/>
    <w:rsid w:val="009230EC"/>
    <w:rsid w:val="00947117"/>
    <w:rsid w:val="00963CBC"/>
    <w:rsid w:val="00964753"/>
    <w:rsid w:val="00A90171"/>
    <w:rsid w:val="00AC4660"/>
    <w:rsid w:val="00AD1247"/>
    <w:rsid w:val="00B24B07"/>
    <w:rsid w:val="00B41280"/>
    <w:rsid w:val="00B414B3"/>
    <w:rsid w:val="00B44CC4"/>
    <w:rsid w:val="00B76186"/>
    <w:rsid w:val="00BD1123"/>
    <w:rsid w:val="00BF4937"/>
    <w:rsid w:val="00C82746"/>
    <w:rsid w:val="00CA49C1"/>
    <w:rsid w:val="00CB1B57"/>
    <w:rsid w:val="00D013E7"/>
    <w:rsid w:val="00D02083"/>
    <w:rsid w:val="00D212F1"/>
    <w:rsid w:val="00D5282D"/>
    <w:rsid w:val="00D53EEA"/>
    <w:rsid w:val="00D57327"/>
    <w:rsid w:val="00DA199E"/>
    <w:rsid w:val="00DA5CF2"/>
    <w:rsid w:val="00DB72F7"/>
    <w:rsid w:val="00E0025A"/>
    <w:rsid w:val="00E16968"/>
    <w:rsid w:val="00E235C8"/>
    <w:rsid w:val="00E702C8"/>
    <w:rsid w:val="00E811AA"/>
    <w:rsid w:val="00EE77C9"/>
    <w:rsid w:val="00EF1AEB"/>
    <w:rsid w:val="00F13B36"/>
    <w:rsid w:val="00F23521"/>
    <w:rsid w:val="00F2563A"/>
    <w:rsid w:val="00FA4856"/>
    <w:rsid w:val="00FD6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9495F"/>
  <w15:chartTrackingRefBased/>
  <w15:docId w15:val="{0075F710-032E-4777-AFB0-B2645A12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32"/>
    <w:rPr>
      <w:sz w:val="24"/>
      <w:szCs w:val="22"/>
    </w:rPr>
  </w:style>
  <w:style w:type="paragraph" w:styleId="Heading1">
    <w:name w:val="heading 1"/>
    <w:basedOn w:val="Normal"/>
    <w:next w:val="Normal"/>
    <w:link w:val="Heading1Char"/>
    <w:autoRedefine/>
    <w:uiPriority w:val="9"/>
    <w:qFormat/>
    <w:rsid w:val="00205243"/>
    <w:pPr>
      <w:keepNext/>
      <w:keepLines/>
      <w:spacing w:before="240" w:after="0" w:line="36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unhideWhenUsed/>
    <w:qFormat/>
    <w:rsid w:val="00F23521"/>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470ACF"/>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qFormat/>
    <w:rsid w:val="00401C2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01C2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401C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1C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1C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1C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243"/>
    <w:rPr>
      <w:rFonts w:eastAsiaTheme="majorEastAsia" w:cstheme="majorBidi"/>
      <w:b/>
      <w:color w:val="000000" w:themeColor="text1"/>
      <w:szCs w:val="32"/>
    </w:rPr>
  </w:style>
  <w:style w:type="character" w:customStyle="1" w:styleId="Heading3Char">
    <w:name w:val="Heading 3 Char"/>
    <w:basedOn w:val="DefaultParagraphFont"/>
    <w:link w:val="Heading3"/>
    <w:uiPriority w:val="9"/>
    <w:rsid w:val="00470ACF"/>
    <w:rPr>
      <w:rFonts w:eastAsiaTheme="majorEastAsia" w:cstheme="majorBidi"/>
      <w:b/>
      <w:color w:val="000000" w:themeColor="text1"/>
      <w:szCs w:val="24"/>
    </w:rPr>
  </w:style>
  <w:style w:type="character" w:customStyle="1" w:styleId="Heading2Char">
    <w:name w:val="Heading 2 Char"/>
    <w:basedOn w:val="DefaultParagraphFont"/>
    <w:link w:val="Heading2"/>
    <w:uiPriority w:val="9"/>
    <w:rsid w:val="00F23521"/>
    <w:rPr>
      <w:rFonts w:eastAsiaTheme="majorEastAsia" w:cstheme="majorBidi"/>
      <w:b/>
      <w:color w:val="000000" w:themeColor="text1"/>
      <w:szCs w:val="26"/>
    </w:rPr>
  </w:style>
  <w:style w:type="character" w:customStyle="1" w:styleId="Heading4Char">
    <w:name w:val="Heading 4 Char"/>
    <w:basedOn w:val="DefaultParagraphFont"/>
    <w:link w:val="Heading4"/>
    <w:uiPriority w:val="9"/>
    <w:semiHidden/>
    <w:rsid w:val="00401C2C"/>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401C2C"/>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401C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1C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1C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1C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1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C2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C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1C2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1C2C"/>
    <w:rPr>
      <w:i/>
      <w:iCs/>
      <w:color w:val="404040" w:themeColor="text1" w:themeTint="BF"/>
    </w:rPr>
  </w:style>
  <w:style w:type="paragraph" w:styleId="ListParagraph">
    <w:name w:val="List Paragraph"/>
    <w:basedOn w:val="Normal"/>
    <w:uiPriority w:val="34"/>
    <w:qFormat/>
    <w:rsid w:val="00401C2C"/>
    <w:pPr>
      <w:ind w:left="720"/>
      <w:contextualSpacing/>
    </w:pPr>
  </w:style>
  <w:style w:type="character" w:styleId="IntenseEmphasis">
    <w:name w:val="Intense Emphasis"/>
    <w:basedOn w:val="DefaultParagraphFont"/>
    <w:uiPriority w:val="21"/>
    <w:qFormat/>
    <w:rsid w:val="00401C2C"/>
    <w:rPr>
      <w:i/>
      <w:iCs/>
      <w:color w:val="365F91" w:themeColor="accent1" w:themeShade="BF"/>
    </w:rPr>
  </w:style>
  <w:style w:type="paragraph" w:styleId="IntenseQuote">
    <w:name w:val="Intense Quote"/>
    <w:basedOn w:val="Normal"/>
    <w:next w:val="Normal"/>
    <w:link w:val="IntenseQuoteChar"/>
    <w:uiPriority w:val="30"/>
    <w:qFormat/>
    <w:rsid w:val="00401C2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01C2C"/>
    <w:rPr>
      <w:i/>
      <w:iCs/>
      <w:color w:val="365F91" w:themeColor="accent1" w:themeShade="BF"/>
    </w:rPr>
  </w:style>
  <w:style w:type="character" w:styleId="IntenseReference">
    <w:name w:val="Intense Reference"/>
    <w:basedOn w:val="DefaultParagraphFont"/>
    <w:uiPriority w:val="32"/>
    <w:qFormat/>
    <w:rsid w:val="00401C2C"/>
    <w:rPr>
      <w:b/>
      <w:bCs/>
      <w:smallCaps/>
      <w:color w:val="365F91" w:themeColor="accent1" w:themeShade="BF"/>
      <w:spacing w:val="5"/>
    </w:rPr>
  </w:style>
  <w:style w:type="paragraph" w:styleId="FootnoteText">
    <w:name w:val="footnote text"/>
    <w:basedOn w:val="Normal"/>
    <w:link w:val="FootnoteTextChar"/>
    <w:uiPriority w:val="99"/>
    <w:semiHidden/>
    <w:unhideWhenUsed/>
    <w:rsid w:val="00FA48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856"/>
  </w:style>
  <w:style w:type="character" w:styleId="FootnoteReference">
    <w:name w:val="footnote reference"/>
    <w:basedOn w:val="DefaultParagraphFont"/>
    <w:uiPriority w:val="99"/>
    <w:semiHidden/>
    <w:unhideWhenUsed/>
    <w:rsid w:val="00FA4856"/>
    <w:rPr>
      <w:vertAlign w:val="superscript"/>
    </w:rPr>
  </w:style>
  <w:style w:type="character" w:styleId="Hyperlink">
    <w:name w:val="Hyperlink"/>
    <w:basedOn w:val="DefaultParagraphFont"/>
    <w:uiPriority w:val="99"/>
    <w:unhideWhenUsed/>
    <w:rsid w:val="00FA4856"/>
    <w:rPr>
      <w:color w:val="0000FF" w:themeColor="hyperlink"/>
      <w:u w:val="single"/>
    </w:rPr>
  </w:style>
  <w:style w:type="paragraph" w:styleId="NormalWeb">
    <w:name w:val="Normal (Web)"/>
    <w:basedOn w:val="Normal"/>
    <w:uiPriority w:val="99"/>
    <w:semiHidden/>
    <w:unhideWhenUsed/>
    <w:rsid w:val="002B792B"/>
    <w:pPr>
      <w:spacing w:before="100" w:beforeAutospacing="1" w:after="100" w:afterAutospacing="1" w:line="240" w:lineRule="auto"/>
    </w:pPr>
    <w:rPr>
      <w:rFonts w:eastAsia="Times New Roman" w:cs="Times New Roman"/>
      <w:kern w:val="0"/>
      <w:szCs w:val="24"/>
      <w:lang w:eastAsia="en-GB"/>
    </w:rPr>
  </w:style>
  <w:style w:type="character" w:styleId="UnresolvedMention">
    <w:name w:val="Unresolved Mention"/>
    <w:basedOn w:val="DefaultParagraphFont"/>
    <w:uiPriority w:val="99"/>
    <w:semiHidden/>
    <w:unhideWhenUsed/>
    <w:rsid w:val="002B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675225">
      <w:bodyDiv w:val="1"/>
      <w:marLeft w:val="0"/>
      <w:marRight w:val="0"/>
      <w:marTop w:val="0"/>
      <w:marBottom w:val="0"/>
      <w:divBdr>
        <w:top w:val="none" w:sz="0" w:space="0" w:color="auto"/>
        <w:left w:val="none" w:sz="0" w:space="0" w:color="auto"/>
        <w:bottom w:val="none" w:sz="0" w:space="0" w:color="auto"/>
        <w:right w:val="none" w:sz="0" w:space="0" w:color="auto"/>
      </w:divBdr>
    </w:div>
    <w:div w:id="132234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azkhattak321@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A321AAE-4651-42DD-8163-7FB225E284E0}">
  <we:reference id="wa200001361" version="2.129.3.0" store="en-US" storeType="OMEX"/>
  <we:alternateReferences>
    <we:reference id="wa200001361" version="2.129.3.0" store="" storeType="OMEX"/>
  </we:alternateReferences>
  <we:properties>
    <we:property name="paperpal-document-id" value="&quot;94d121d9-a268-4e64-949a-939e5548fa5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A981-FEE6-4386-A324-88E3C83B2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20</Pages>
  <Words>6279</Words>
  <Characters>37429</Characters>
  <Application>Microsoft Office Word</Application>
  <DocSecurity>0</DocSecurity>
  <Lines>534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Izaz Khattak</dc:creator>
  <cp:keywords/>
  <dc:description/>
  <cp:lastModifiedBy>Izaz Khattak</cp:lastModifiedBy>
  <cp:revision>24</cp:revision>
  <dcterms:created xsi:type="dcterms:W3CDTF">2025-04-18T05:17:00Z</dcterms:created>
  <dcterms:modified xsi:type="dcterms:W3CDTF">2025-04-30T12:28:00Z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d6a701db0cd178f882258cf3c20255e553e4d90336badd9140576bb053887528</vt:lpwstr>
  </property>
  <property fmtid="{D5CDD505-2E9C-101B-9397-08002B2CF9AE}" pid="3" name="ZOTERO_PREF_1">
    <vt:lpwstr>&lt;data data-version="3" zotero-version="6.0.36"&gt;&lt;session id="gwPsNOJZ"/&gt;&lt;style id="http://www.zotero.org/styles/chicago-fullnote-bibliography" locale="en-US" hasBibliography="1" bibliographyStyleHasBeenSet="0"/&gt;&lt;prefs&gt;&lt;pref name="fieldType" value="Field"/&gt;</vt:lpwstr>
  </property>
  <property fmtid="{D5CDD505-2E9C-101B-9397-08002B2CF9AE}" pid="4" name="ZOTERO_PREF_2">
    <vt:lpwstr>&lt;pref name="noteType" value="1"/&gt;&lt;/prefs&gt;&lt;/data&gt;</vt:lpwstr>
  </property>
</Properties>
</file>